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4" w:type="dxa"/>
        <w:tblInd w:w="60" w:type="dxa"/>
        <w:tblLayout w:type="fixed"/>
        <w:tblCellMar>
          <w:left w:w="60" w:type="dxa"/>
          <w:right w:w="60" w:type="dxa"/>
        </w:tblCellMar>
        <w:tblLook w:val="0000"/>
      </w:tblPr>
      <w:tblGrid>
        <w:gridCol w:w="4692"/>
        <w:gridCol w:w="4692"/>
      </w:tblGrid>
      <w:tr w:rsidR="009D60EA" w:rsidRPr="00C35748">
        <w:tc>
          <w:tcPr>
            <w:tcW w:w="4692" w:type="dxa"/>
          </w:tcPr>
          <w:p w:rsidR="009D60EA" w:rsidRPr="00C35748" w:rsidRDefault="009D60EA" w:rsidP="00DE5619">
            <w:pPr>
              <w:spacing w:line="120" w:lineRule="exact"/>
              <w:rPr>
                <w:rFonts w:ascii="Arial" w:eastAsia="Arial Unicode MS" w:hAnsi="Arial" w:cs="Arial"/>
                <w:sz w:val="22"/>
                <w:szCs w:val="22"/>
              </w:rPr>
            </w:pPr>
          </w:p>
          <w:p w:rsidR="009D60EA" w:rsidRPr="00C35748" w:rsidRDefault="003A4454" w:rsidP="003A44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Arial Unicode MS" w:hAnsi="Arial" w:cs="Arial"/>
                <w:sz w:val="22"/>
                <w:szCs w:val="22"/>
                <w:lang w:bidi="en-US"/>
              </w:rPr>
            </w:pPr>
            <w:bookmarkStart w:id="0" w:name="sub_committee"/>
            <w:bookmarkStart w:id="1" w:name="session"/>
            <w:bookmarkEnd w:id="0"/>
            <w:bookmarkEnd w:id="1"/>
            <w:r>
              <w:rPr>
                <w:rFonts w:ascii="Arial" w:hAnsi="Arial" w:cs="Arial"/>
                <w:b/>
                <w:bCs/>
                <w:sz w:val="22"/>
                <w:szCs w:val="22"/>
                <w:lang w:eastAsia="en-GB"/>
              </w:rPr>
              <w:t xml:space="preserve">SUB-COMMITTEE </w:t>
            </w:r>
            <w:r w:rsidR="006F4FA2" w:rsidRPr="00C35748">
              <w:rPr>
                <w:rFonts w:ascii="Arial" w:hAnsi="Arial" w:cs="Arial"/>
                <w:b/>
                <w:bCs/>
                <w:sz w:val="22"/>
                <w:szCs w:val="22"/>
                <w:lang w:eastAsia="en-GB"/>
              </w:rPr>
              <w:t xml:space="preserve">ON SHIP DESIGN AND CONSTRUCTION </w:t>
            </w:r>
          </w:p>
          <w:p w:rsidR="009D60EA" w:rsidRPr="00C35748" w:rsidRDefault="006F4FA2" w:rsidP="00DE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bidi="en-US"/>
              </w:rPr>
            </w:pPr>
            <w:r w:rsidRPr="00C35748">
              <w:rPr>
                <w:rFonts w:ascii="Arial" w:eastAsia="Arial Unicode MS" w:hAnsi="Arial" w:cs="Arial"/>
                <w:sz w:val="22"/>
                <w:szCs w:val="22"/>
                <w:lang w:bidi="en-US"/>
              </w:rPr>
              <w:t>1</w:t>
            </w:r>
            <w:r w:rsidRPr="00C35748">
              <w:rPr>
                <w:rFonts w:ascii="Arial" w:eastAsia="Arial Unicode MS" w:hAnsi="Arial" w:cs="Arial"/>
                <w:sz w:val="22"/>
                <w:szCs w:val="22"/>
                <w:vertAlign w:val="superscript"/>
                <w:lang w:bidi="en-US"/>
              </w:rPr>
              <w:t>st</w:t>
            </w:r>
            <w:r w:rsidRPr="00C35748">
              <w:rPr>
                <w:rFonts w:ascii="Arial" w:eastAsia="Arial Unicode MS" w:hAnsi="Arial" w:cs="Arial"/>
                <w:sz w:val="22"/>
                <w:szCs w:val="22"/>
                <w:lang w:bidi="en-US"/>
              </w:rPr>
              <w:t xml:space="preserve"> </w:t>
            </w:r>
            <w:r w:rsidR="00D5655C" w:rsidRPr="00C35748">
              <w:rPr>
                <w:rFonts w:ascii="Arial" w:eastAsia="Arial Unicode MS" w:hAnsi="Arial" w:cs="Arial"/>
                <w:sz w:val="22"/>
                <w:szCs w:val="22"/>
                <w:lang w:bidi="en-US"/>
              </w:rPr>
              <w:t xml:space="preserve"> </w:t>
            </w:r>
            <w:r w:rsidR="009D60EA" w:rsidRPr="00C35748">
              <w:rPr>
                <w:rFonts w:ascii="Arial" w:eastAsia="Arial Unicode MS" w:hAnsi="Arial" w:cs="Arial"/>
                <w:sz w:val="22"/>
                <w:szCs w:val="22"/>
                <w:lang w:bidi="en-US"/>
              </w:rPr>
              <w:t>Session</w:t>
            </w:r>
          </w:p>
          <w:p w:rsidR="009D60EA" w:rsidRPr="00C35748" w:rsidRDefault="009D60EA" w:rsidP="00DE5619">
            <w:pPr>
              <w:tabs>
                <w:tab w:val="left" w:pos="720"/>
                <w:tab w:val="left" w:pos="1440"/>
                <w:tab w:val="left" w:pos="2160"/>
                <w:tab w:val="left" w:pos="2880"/>
              </w:tabs>
              <w:spacing w:after="58"/>
              <w:rPr>
                <w:rFonts w:ascii="Arial" w:eastAsia="Arial Unicode MS" w:hAnsi="Arial" w:cs="Arial"/>
                <w:sz w:val="22"/>
                <w:szCs w:val="22"/>
              </w:rPr>
            </w:pPr>
            <w:r w:rsidRPr="00C35748">
              <w:rPr>
                <w:rFonts w:ascii="Arial" w:eastAsia="Arial Unicode MS" w:hAnsi="Arial" w:cs="Arial"/>
                <w:sz w:val="22"/>
                <w:szCs w:val="22"/>
              </w:rPr>
              <w:t xml:space="preserve">Agenda item </w:t>
            </w:r>
            <w:bookmarkStart w:id="2" w:name="agenda"/>
            <w:bookmarkEnd w:id="2"/>
            <w:r w:rsidR="006F4FA2" w:rsidRPr="00C35748">
              <w:rPr>
                <w:rFonts w:ascii="Arial" w:eastAsia="Arial Unicode MS" w:hAnsi="Arial" w:cs="Arial"/>
                <w:sz w:val="22"/>
                <w:szCs w:val="22"/>
              </w:rPr>
              <w:t>3</w:t>
            </w:r>
          </w:p>
        </w:tc>
        <w:tc>
          <w:tcPr>
            <w:tcW w:w="4692" w:type="dxa"/>
          </w:tcPr>
          <w:p w:rsidR="009D60EA" w:rsidRPr="00C35748" w:rsidRDefault="009D60EA" w:rsidP="00DE5619">
            <w:pPr>
              <w:spacing w:line="120" w:lineRule="exact"/>
              <w:rPr>
                <w:rFonts w:ascii="Arial" w:eastAsia="Arial Unicode MS" w:hAnsi="Arial" w:cs="Arial"/>
                <w:sz w:val="22"/>
                <w:szCs w:val="22"/>
              </w:rPr>
            </w:pPr>
          </w:p>
          <w:p w:rsidR="009D60EA" w:rsidRPr="00C35748" w:rsidRDefault="006F4FA2" w:rsidP="00812F27">
            <w:pPr>
              <w:tabs>
                <w:tab w:val="right" w:pos="4572"/>
              </w:tabs>
              <w:jc w:val="right"/>
              <w:rPr>
                <w:rFonts w:ascii="Arial" w:eastAsia="Arial Unicode MS" w:hAnsi="Arial" w:cs="Arial"/>
                <w:sz w:val="22"/>
                <w:szCs w:val="22"/>
              </w:rPr>
            </w:pPr>
            <w:bookmarkStart w:id="3" w:name="symbol"/>
            <w:bookmarkStart w:id="4" w:name="Text8"/>
            <w:bookmarkEnd w:id="3"/>
            <w:r w:rsidRPr="00C35748">
              <w:rPr>
                <w:rFonts w:ascii="Arial" w:eastAsia="Arial Unicode MS" w:hAnsi="Arial" w:cs="Arial"/>
                <w:noProof/>
                <w:sz w:val="22"/>
                <w:szCs w:val="22"/>
              </w:rPr>
              <w:t>SDC1</w:t>
            </w:r>
            <w:r w:rsidR="00E72E47" w:rsidRPr="00C35748">
              <w:rPr>
                <w:rFonts w:ascii="Arial" w:eastAsia="Arial Unicode MS" w:hAnsi="Arial" w:cs="Arial"/>
                <w:noProof/>
                <w:sz w:val="22"/>
                <w:szCs w:val="22"/>
              </w:rPr>
              <w:t>/</w:t>
            </w:r>
            <w:r w:rsidRPr="00C35748">
              <w:rPr>
                <w:rFonts w:ascii="Arial" w:eastAsia="Arial Unicode MS" w:hAnsi="Arial" w:cs="Arial"/>
                <w:noProof/>
                <w:sz w:val="22"/>
                <w:szCs w:val="22"/>
              </w:rPr>
              <w:t>3</w:t>
            </w:r>
            <w:r w:rsidR="009D60EA" w:rsidRPr="00C35748">
              <w:rPr>
                <w:rFonts w:ascii="Arial" w:eastAsia="Arial Unicode MS" w:hAnsi="Arial" w:cs="Arial"/>
                <w:noProof/>
                <w:sz w:val="22"/>
                <w:szCs w:val="22"/>
              </w:rPr>
              <w:t>/</w:t>
            </w:r>
            <w:bookmarkEnd w:id="4"/>
            <w:r w:rsidR="009D60EA" w:rsidRPr="00C35748">
              <w:rPr>
                <w:rFonts w:ascii="Arial" w:eastAsia="Arial Unicode MS" w:hAnsi="Arial" w:cs="Arial"/>
                <w:noProof/>
                <w:sz w:val="22"/>
                <w:szCs w:val="22"/>
              </w:rPr>
              <w:t>XX</w:t>
            </w:r>
          </w:p>
          <w:p w:rsidR="009D60EA" w:rsidRPr="00C35748" w:rsidRDefault="009D60EA" w:rsidP="00DE5619">
            <w:pPr>
              <w:tabs>
                <w:tab w:val="right" w:pos="4572"/>
              </w:tabs>
              <w:rPr>
                <w:rFonts w:ascii="Arial" w:eastAsia="Arial Unicode MS" w:hAnsi="Arial" w:cs="Arial"/>
                <w:sz w:val="22"/>
                <w:szCs w:val="22"/>
              </w:rPr>
            </w:pPr>
            <w:r w:rsidRPr="00C35748">
              <w:rPr>
                <w:rFonts w:ascii="Arial" w:eastAsia="Arial Unicode MS" w:hAnsi="Arial" w:cs="Arial"/>
                <w:sz w:val="22"/>
                <w:szCs w:val="22"/>
              </w:rPr>
              <w:tab/>
            </w:r>
            <w:bookmarkStart w:id="5" w:name="date"/>
            <w:bookmarkEnd w:id="5"/>
            <w:r w:rsidR="006F4FA2" w:rsidRPr="00C35748">
              <w:rPr>
                <w:rFonts w:ascii="Arial" w:eastAsia="Arial Unicode MS" w:hAnsi="Arial" w:cs="Arial"/>
                <w:sz w:val="22"/>
                <w:szCs w:val="22"/>
              </w:rPr>
              <w:t>XX</w:t>
            </w:r>
            <w:r w:rsidR="00D6156E">
              <w:rPr>
                <w:rFonts w:ascii="Arial" w:eastAsia="Arial Unicode MS" w:hAnsi="Arial" w:cs="Arial"/>
                <w:sz w:val="22"/>
                <w:szCs w:val="22"/>
              </w:rPr>
              <w:t xml:space="preserve"> DATE </w:t>
            </w:r>
            <w:r w:rsidR="006F4FA2" w:rsidRPr="00C35748">
              <w:rPr>
                <w:rFonts w:ascii="Arial" w:eastAsia="Arial Unicode MS" w:hAnsi="Arial" w:cs="Arial"/>
                <w:sz w:val="22"/>
                <w:szCs w:val="22"/>
              </w:rPr>
              <w:t>XX</w:t>
            </w:r>
          </w:p>
          <w:p w:rsidR="009D60EA" w:rsidRPr="00C35748" w:rsidRDefault="009D60EA" w:rsidP="00DE5619">
            <w:pPr>
              <w:tabs>
                <w:tab w:val="right" w:pos="4572"/>
              </w:tabs>
              <w:spacing w:after="58"/>
              <w:rPr>
                <w:rFonts w:ascii="Arial" w:eastAsia="Arial Unicode MS" w:hAnsi="Arial" w:cs="Arial"/>
                <w:sz w:val="22"/>
                <w:szCs w:val="22"/>
              </w:rPr>
            </w:pPr>
            <w:r w:rsidRPr="00C35748">
              <w:rPr>
                <w:rFonts w:ascii="Arial" w:eastAsia="Arial Unicode MS" w:hAnsi="Arial" w:cs="Arial"/>
                <w:sz w:val="22"/>
                <w:szCs w:val="22"/>
              </w:rPr>
              <w:tab/>
              <w:t xml:space="preserve"> </w:t>
            </w:r>
            <w:bookmarkStart w:id="6" w:name="language"/>
            <w:bookmarkEnd w:id="6"/>
            <w:r w:rsidRPr="00C35748">
              <w:rPr>
                <w:rFonts w:ascii="Arial" w:eastAsia="Arial Unicode MS" w:hAnsi="Arial" w:cs="Arial"/>
                <w:sz w:val="22"/>
                <w:szCs w:val="22"/>
              </w:rPr>
              <w:t>Original:  ENGLISH</w:t>
            </w:r>
          </w:p>
        </w:tc>
      </w:tr>
    </w:tbl>
    <w:p w:rsidR="009D60EA" w:rsidRPr="00C35748" w:rsidRDefault="009D60EA" w:rsidP="00DE5619">
      <w:pPr>
        <w:tabs>
          <w:tab w:val="left" w:pos="720"/>
          <w:tab w:val="left" w:pos="1440"/>
          <w:tab w:val="left" w:pos="2160"/>
          <w:tab w:val="left" w:pos="2880"/>
        </w:tabs>
        <w:rPr>
          <w:rFonts w:ascii="Arial" w:eastAsia="Arial Unicode MS" w:hAnsi="Arial" w:cs="Arial"/>
          <w:b/>
          <w:sz w:val="22"/>
          <w:szCs w:val="22"/>
        </w:rPr>
      </w:pPr>
      <w:bookmarkStart w:id="7" w:name="Text1"/>
    </w:p>
    <w:p w:rsidR="009D60EA" w:rsidRPr="00812F27" w:rsidRDefault="006F4FA2" w:rsidP="00812F27">
      <w:pPr>
        <w:tabs>
          <w:tab w:val="left" w:pos="720"/>
          <w:tab w:val="left" w:pos="1440"/>
          <w:tab w:val="left" w:pos="2160"/>
          <w:tab w:val="left" w:pos="2880"/>
        </w:tabs>
        <w:jc w:val="center"/>
        <w:rPr>
          <w:rFonts w:ascii="Arial" w:eastAsia="Arial Unicode MS" w:hAnsi="Arial" w:cs="Arial"/>
          <w:b/>
          <w:sz w:val="22"/>
          <w:szCs w:val="22"/>
          <w:lang w:bidi="en-US"/>
        </w:rPr>
      </w:pPr>
      <w:r w:rsidRPr="00812F27">
        <w:rPr>
          <w:rFonts w:ascii="Arial" w:hAnsi="Arial" w:cs="Arial"/>
          <w:b/>
          <w:sz w:val="22"/>
          <w:szCs w:val="22"/>
          <w:lang w:eastAsia="en-GB"/>
        </w:rPr>
        <w:t>Development of a mandatory Code for ships operating in polar waters</w:t>
      </w:r>
    </w:p>
    <w:p w:rsidR="009D60EA" w:rsidRPr="00812F27" w:rsidRDefault="009D60EA" w:rsidP="00812F27">
      <w:pPr>
        <w:tabs>
          <w:tab w:val="left" w:pos="720"/>
          <w:tab w:val="left" w:pos="1440"/>
          <w:tab w:val="left" w:pos="2160"/>
          <w:tab w:val="left" w:pos="2880"/>
        </w:tabs>
        <w:jc w:val="center"/>
        <w:rPr>
          <w:rFonts w:ascii="Arial" w:eastAsia="Arial Unicode MS" w:hAnsi="Arial" w:cs="Arial"/>
          <w:b/>
          <w:sz w:val="22"/>
          <w:szCs w:val="22"/>
        </w:rPr>
      </w:pPr>
    </w:p>
    <w:p w:rsidR="009D60EA" w:rsidRPr="00812F27" w:rsidRDefault="00C35748" w:rsidP="00812F27">
      <w:pPr>
        <w:tabs>
          <w:tab w:val="left" w:pos="720"/>
          <w:tab w:val="left" w:pos="1440"/>
          <w:tab w:val="left" w:pos="2160"/>
          <w:tab w:val="left" w:pos="2880"/>
        </w:tabs>
        <w:jc w:val="center"/>
        <w:rPr>
          <w:rFonts w:ascii="Arial" w:eastAsia="Arial Unicode MS" w:hAnsi="Arial" w:cs="Arial"/>
          <w:b/>
          <w:sz w:val="22"/>
          <w:szCs w:val="22"/>
        </w:rPr>
      </w:pPr>
      <w:r w:rsidRPr="00812F27">
        <w:rPr>
          <w:rFonts w:ascii="Arial" w:eastAsia="Arial Unicode MS" w:hAnsi="Arial" w:cs="Arial"/>
          <w:b/>
          <w:sz w:val="22"/>
          <w:szCs w:val="22"/>
        </w:rPr>
        <w:t>Re</w:t>
      </w:r>
      <w:r w:rsidR="006F4FA2" w:rsidRPr="00812F27">
        <w:rPr>
          <w:rFonts w:ascii="Arial" w:eastAsia="Arial Unicode MS" w:hAnsi="Arial" w:cs="Arial"/>
          <w:b/>
          <w:sz w:val="22"/>
          <w:szCs w:val="22"/>
        </w:rPr>
        <w:t>ception facilities</w:t>
      </w:r>
      <w:r w:rsidRPr="00812F27">
        <w:rPr>
          <w:rFonts w:ascii="Arial" w:eastAsia="Arial Unicode MS" w:hAnsi="Arial" w:cs="Arial"/>
          <w:b/>
          <w:sz w:val="22"/>
          <w:szCs w:val="22"/>
        </w:rPr>
        <w:t xml:space="preserve"> for oil and oily mixtures</w:t>
      </w:r>
    </w:p>
    <w:p w:rsidR="009D60EA" w:rsidRPr="00812F27" w:rsidRDefault="009D60EA" w:rsidP="00812F27">
      <w:pPr>
        <w:tabs>
          <w:tab w:val="left" w:pos="720"/>
          <w:tab w:val="left" w:pos="1440"/>
          <w:tab w:val="left" w:pos="2160"/>
          <w:tab w:val="left" w:pos="2880"/>
        </w:tabs>
        <w:jc w:val="center"/>
        <w:rPr>
          <w:rFonts w:ascii="Arial" w:eastAsia="Arial Unicode MS" w:hAnsi="Arial" w:cs="Arial"/>
          <w:b/>
          <w:noProof/>
          <w:sz w:val="22"/>
          <w:szCs w:val="22"/>
        </w:rPr>
      </w:pPr>
    </w:p>
    <w:p w:rsidR="005E299D" w:rsidRDefault="009D60EA" w:rsidP="00812F27">
      <w:pPr>
        <w:tabs>
          <w:tab w:val="left" w:pos="720"/>
          <w:tab w:val="left" w:pos="1440"/>
          <w:tab w:val="left" w:pos="2160"/>
          <w:tab w:val="left" w:pos="2880"/>
        </w:tabs>
        <w:jc w:val="center"/>
        <w:rPr>
          <w:rFonts w:ascii="Arial" w:eastAsia="Arial Unicode MS" w:hAnsi="Arial" w:cs="Arial"/>
          <w:b/>
          <w:noProof/>
          <w:sz w:val="22"/>
          <w:szCs w:val="22"/>
        </w:rPr>
      </w:pPr>
      <w:bookmarkStart w:id="8" w:name="OLE_LINK1"/>
      <w:r w:rsidRPr="00812F27">
        <w:rPr>
          <w:rFonts w:ascii="Arial" w:eastAsia="Arial Unicode MS" w:hAnsi="Arial" w:cs="Arial"/>
          <w:b/>
          <w:noProof/>
          <w:sz w:val="22"/>
          <w:szCs w:val="22"/>
        </w:rPr>
        <w:t>Submitted by</w:t>
      </w:r>
      <w:r w:rsidR="003D5599">
        <w:rPr>
          <w:rFonts w:ascii="Arial" w:eastAsia="Arial Unicode MS" w:hAnsi="Arial" w:cs="Arial"/>
          <w:b/>
          <w:noProof/>
          <w:sz w:val="22"/>
          <w:szCs w:val="22"/>
        </w:rPr>
        <w:t xml:space="preserve"> Kiribati,</w:t>
      </w:r>
      <w:r w:rsidR="00CB6534">
        <w:rPr>
          <w:rFonts w:ascii="Arial" w:eastAsia="Arial Unicode MS" w:hAnsi="Arial" w:cs="Arial"/>
          <w:b/>
          <w:noProof/>
          <w:sz w:val="22"/>
          <w:szCs w:val="22"/>
        </w:rPr>
        <w:t xml:space="preserve"> </w:t>
      </w:r>
      <w:r w:rsidR="004062A9">
        <w:rPr>
          <w:rFonts w:ascii="Arial" w:eastAsia="Arial Unicode MS" w:hAnsi="Arial" w:cs="Arial"/>
          <w:b/>
          <w:noProof/>
          <w:sz w:val="22"/>
          <w:szCs w:val="22"/>
        </w:rPr>
        <w:t xml:space="preserve">Liberia, </w:t>
      </w:r>
      <w:r w:rsidR="00CB6534">
        <w:rPr>
          <w:rFonts w:ascii="Arial" w:eastAsia="Arial Unicode MS" w:hAnsi="Arial" w:cs="Arial"/>
          <w:b/>
          <w:noProof/>
          <w:sz w:val="22"/>
          <w:szCs w:val="22"/>
        </w:rPr>
        <w:t>Marshall Islands,</w:t>
      </w:r>
      <w:r w:rsidR="008E7825" w:rsidRPr="00812F27">
        <w:rPr>
          <w:rFonts w:ascii="Arial" w:eastAsia="Arial Unicode MS" w:hAnsi="Arial" w:cs="Arial"/>
          <w:b/>
          <w:noProof/>
          <w:sz w:val="22"/>
          <w:szCs w:val="22"/>
        </w:rPr>
        <w:t xml:space="preserve"> </w:t>
      </w:r>
      <w:r w:rsidR="008D1D57">
        <w:rPr>
          <w:rFonts w:ascii="Arial" w:eastAsia="Arial Unicode MS" w:hAnsi="Arial" w:cs="Arial"/>
          <w:b/>
          <w:noProof/>
          <w:sz w:val="22"/>
          <w:szCs w:val="22"/>
        </w:rPr>
        <w:t xml:space="preserve">Panama, </w:t>
      </w:r>
      <w:r w:rsidR="000A5287">
        <w:rPr>
          <w:rFonts w:ascii="Arial" w:eastAsia="Arial Unicode MS" w:hAnsi="Arial" w:cs="Arial"/>
          <w:b/>
          <w:noProof/>
          <w:sz w:val="22"/>
          <w:szCs w:val="22"/>
        </w:rPr>
        <w:t>St Ki</w:t>
      </w:r>
      <w:r w:rsidR="00737E58">
        <w:rPr>
          <w:rFonts w:ascii="Arial" w:eastAsia="Arial Unicode MS" w:hAnsi="Arial" w:cs="Arial"/>
          <w:b/>
          <w:noProof/>
          <w:sz w:val="22"/>
          <w:szCs w:val="22"/>
        </w:rPr>
        <w:t xml:space="preserve">tts and Nevis, Tuvalu, </w:t>
      </w:r>
      <w:r w:rsidR="008E7825" w:rsidRPr="00812F27">
        <w:rPr>
          <w:rFonts w:ascii="Arial" w:eastAsia="Arial Unicode MS" w:hAnsi="Arial" w:cs="Arial"/>
          <w:b/>
          <w:noProof/>
          <w:sz w:val="22"/>
          <w:szCs w:val="22"/>
        </w:rPr>
        <w:t>.....</w:t>
      </w:r>
      <w:r w:rsidR="00D12658">
        <w:rPr>
          <w:rFonts w:ascii="Arial" w:eastAsia="Arial Unicode MS" w:hAnsi="Arial" w:cs="Arial"/>
          <w:b/>
          <w:noProof/>
          <w:sz w:val="22"/>
          <w:szCs w:val="22"/>
        </w:rPr>
        <w:t xml:space="preserve"> </w:t>
      </w:r>
    </w:p>
    <w:p w:rsidR="009D60EA" w:rsidRPr="00812F27" w:rsidRDefault="0067666B" w:rsidP="00812F27">
      <w:pPr>
        <w:tabs>
          <w:tab w:val="left" w:pos="720"/>
          <w:tab w:val="left" w:pos="1440"/>
          <w:tab w:val="left" w:pos="2160"/>
          <w:tab w:val="left" w:pos="2880"/>
        </w:tabs>
        <w:jc w:val="center"/>
        <w:rPr>
          <w:rFonts w:ascii="Arial" w:eastAsia="Arial Unicode MS" w:hAnsi="Arial" w:cs="Arial"/>
          <w:b/>
          <w:noProof/>
          <w:sz w:val="22"/>
          <w:szCs w:val="22"/>
        </w:rPr>
      </w:pPr>
      <w:r>
        <w:rPr>
          <w:rFonts w:ascii="Arial" w:eastAsia="Arial Unicode MS" w:hAnsi="Arial" w:cs="Arial"/>
          <w:b/>
          <w:noProof/>
          <w:sz w:val="22"/>
          <w:szCs w:val="22"/>
        </w:rPr>
        <w:t xml:space="preserve">ICS, </w:t>
      </w:r>
      <w:r w:rsidR="005E299D">
        <w:rPr>
          <w:rFonts w:ascii="Arial" w:eastAsia="Arial Unicode MS" w:hAnsi="Arial" w:cs="Arial"/>
          <w:b/>
          <w:noProof/>
          <w:sz w:val="22"/>
          <w:szCs w:val="22"/>
        </w:rPr>
        <w:t xml:space="preserve">BIMCO, </w:t>
      </w:r>
      <w:r w:rsidR="00D12658">
        <w:rPr>
          <w:rFonts w:ascii="Arial" w:eastAsia="Arial Unicode MS" w:hAnsi="Arial" w:cs="Arial"/>
          <w:b/>
          <w:noProof/>
          <w:sz w:val="22"/>
          <w:szCs w:val="22"/>
        </w:rPr>
        <w:t>IFSMA,</w:t>
      </w:r>
      <w:r w:rsidR="009D60EA" w:rsidRPr="00812F27">
        <w:rPr>
          <w:rFonts w:ascii="Arial" w:eastAsia="Arial Unicode MS" w:hAnsi="Arial" w:cs="Arial"/>
          <w:b/>
          <w:noProof/>
          <w:sz w:val="22"/>
          <w:szCs w:val="22"/>
        </w:rPr>
        <w:t xml:space="preserve"> </w:t>
      </w:r>
      <w:bookmarkEnd w:id="7"/>
      <w:r w:rsidR="006A4AF7">
        <w:rPr>
          <w:rFonts w:ascii="Arial" w:eastAsia="Arial Unicode MS" w:hAnsi="Arial" w:cs="Arial"/>
          <w:b/>
          <w:noProof/>
          <w:sz w:val="22"/>
          <w:szCs w:val="22"/>
        </w:rPr>
        <w:t>INTERCARGO,</w:t>
      </w:r>
      <w:r w:rsidR="00857861">
        <w:rPr>
          <w:rFonts w:ascii="Arial" w:eastAsia="Arial Unicode MS" w:hAnsi="Arial" w:cs="Arial"/>
          <w:b/>
          <w:noProof/>
          <w:sz w:val="22"/>
          <w:szCs w:val="22"/>
        </w:rPr>
        <w:t xml:space="preserve"> INTERMANAGER,</w:t>
      </w:r>
      <w:r w:rsidR="006A4AF7">
        <w:rPr>
          <w:rFonts w:ascii="Arial" w:eastAsia="Arial Unicode MS" w:hAnsi="Arial" w:cs="Arial"/>
          <w:b/>
          <w:noProof/>
          <w:sz w:val="22"/>
          <w:szCs w:val="22"/>
        </w:rPr>
        <w:t xml:space="preserve"> </w:t>
      </w:r>
      <w:r w:rsidR="006F4FA2" w:rsidRPr="00812F27">
        <w:rPr>
          <w:rFonts w:ascii="Arial" w:eastAsia="Arial Unicode MS" w:hAnsi="Arial" w:cs="Arial"/>
          <w:b/>
          <w:noProof/>
          <w:sz w:val="22"/>
          <w:szCs w:val="22"/>
        </w:rPr>
        <w:t>INTERTANKO</w:t>
      </w:r>
      <w:r w:rsidR="0092380B">
        <w:rPr>
          <w:rFonts w:ascii="Arial" w:eastAsia="Arial Unicode MS" w:hAnsi="Arial" w:cs="Arial"/>
          <w:b/>
          <w:noProof/>
          <w:sz w:val="22"/>
          <w:szCs w:val="22"/>
        </w:rPr>
        <w:t>, Nautical Institute</w:t>
      </w:r>
    </w:p>
    <w:bookmarkEnd w:id="8"/>
    <w:p w:rsidR="009D60EA" w:rsidRPr="00C35748" w:rsidRDefault="009D60EA" w:rsidP="00DE5619">
      <w:pPr>
        <w:tabs>
          <w:tab w:val="left" w:pos="720"/>
          <w:tab w:val="left" w:pos="1440"/>
          <w:tab w:val="left" w:pos="2160"/>
          <w:tab w:val="left" w:pos="2880"/>
        </w:tabs>
        <w:rPr>
          <w:rFonts w:ascii="Arial" w:eastAsia="Arial Unicode MS" w:hAnsi="Arial" w:cs="Arial"/>
          <w:b/>
          <w:sz w:val="22"/>
          <w:szCs w:val="22"/>
        </w:rPr>
      </w:pPr>
    </w:p>
    <w:tbl>
      <w:tblPr>
        <w:tblW w:w="9373" w:type="dxa"/>
        <w:tblInd w:w="132" w:type="dxa"/>
        <w:tblBorders>
          <w:top w:val="single" w:sz="8" w:space="0" w:color="000000"/>
          <w:left w:val="single" w:sz="8" w:space="0" w:color="000000"/>
          <w:bottom w:val="single" w:sz="8" w:space="0" w:color="000000"/>
          <w:right w:val="single" w:sz="8" w:space="0" w:color="000000"/>
        </w:tblBorders>
        <w:tblLayout w:type="fixed"/>
        <w:tblCellMar>
          <w:left w:w="132" w:type="dxa"/>
          <w:right w:w="132" w:type="dxa"/>
        </w:tblCellMar>
        <w:tblLook w:val="0000"/>
      </w:tblPr>
      <w:tblGrid>
        <w:gridCol w:w="2552"/>
        <w:gridCol w:w="6821"/>
      </w:tblGrid>
      <w:tr w:rsidR="009D60EA" w:rsidRPr="00C35748" w:rsidTr="00123776">
        <w:tc>
          <w:tcPr>
            <w:tcW w:w="2552" w:type="dxa"/>
          </w:tcPr>
          <w:p w:rsidR="009D60EA" w:rsidRPr="00C35748" w:rsidRDefault="009D60EA" w:rsidP="00DE5619">
            <w:pPr>
              <w:spacing w:line="120" w:lineRule="exact"/>
              <w:rPr>
                <w:rFonts w:ascii="Arial" w:eastAsia="Arial Unicode MS" w:hAnsi="Arial" w:cs="Arial"/>
                <w:sz w:val="22"/>
                <w:szCs w:val="22"/>
              </w:rPr>
            </w:pPr>
          </w:p>
          <w:p w:rsidR="009D60EA" w:rsidRPr="00C35748" w:rsidRDefault="009D60EA" w:rsidP="00DE5619">
            <w:pPr>
              <w:tabs>
                <w:tab w:val="left" w:pos="720"/>
                <w:tab w:val="left" w:pos="1440"/>
                <w:tab w:val="left" w:pos="2160"/>
                <w:tab w:val="left" w:pos="2880"/>
              </w:tabs>
              <w:spacing w:after="58"/>
              <w:rPr>
                <w:rFonts w:ascii="Arial" w:eastAsia="Arial Unicode MS" w:hAnsi="Arial" w:cs="Arial"/>
                <w:sz w:val="22"/>
                <w:szCs w:val="22"/>
              </w:rPr>
            </w:pPr>
            <w:r w:rsidRPr="00C35748">
              <w:rPr>
                <w:rFonts w:ascii="Arial" w:eastAsia="Arial Unicode MS" w:hAnsi="Arial" w:cs="Arial"/>
                <w:b/>
                <w:i/>
                <w:sz w:val="22"/>
                <w:szCs w:val="22"/>
              </w:rPr>
              <w:t>Executive summary:</w:t>
            </w:r>
          </w:p>
        </w:tc>
        <w:tc>
          <w:tcPr>
            <w:tcW w:w="6821" w:type="dxa"/>
          </w:tcPr>
          <w:p w:rsidR="00732A4B" w:rsidRPr="00C35748" w:rsidRDefault="00732A4B" w:rsidP="00DE5619">
            <w:pPr>
              <w:rPr>
                <w:rFonts w:ascii="Arial" w:eastAsia="Arial Unicode MS" w:hAnsi="Arial" w:cs="Arial"/>
                <w:sz w:val="22"/>
                <w:szCs w:val="22"/>
              </w:rPr>
            </w:pPr>
            <w:bookmarkStart w:id="9" w:name="Execsum"/>
            <w:bookmarkEnd w:id="9"/>
          </w:p>
          <w:p w:rsidR="009D60EA" w:rsidRPr="00C35748" w:rsidRDefault="00C35748" w:rsidP="00DE5619">
            <w:pPr>
              <w:rPr>
                <w:rFonts w:ascii="Arial" w:eastAsia="Arial Unicode MS" w:hAnsi="Arial" w:cs="Arial"/>
                <w:sz w:val="22"/>
                <w:szCs w:val="22"/>
              </w:rPr>
            </w:pPr>
            <w:r>
              <w:rPr>
                <w:rFonts w:ascii="Arial" w:eastAsia="Arial Unicode MS" w:hAnsi="Arial" w:cs="Arial"/>
                <w:sz w:val="22"/>
                <w:szCs w:val="22"/>
              </w:rPr>
              <w:t xml:space="preserve">Following the invitation from the Committee at MEPC65 to </w:t>
            </w:r>
            <w:r w:rsidRPr="00C35748">
              <w:rPr>
                <w:rFonts w:ascii="Arial" w:hAnsi="Arial" w:cs="Arial"/>
                <w:sz w:val="22"/>
                <w:szCs w:val="22"/>
              </w:rPr>
              <w:t xml:space="preserve">Member Governments and international organizations to submit their proposals and comments on the </w:t>
            </w:r>
            <w:r>
              <w:rPr>
                <w:rFonts w:ascii="Arial" w:hAnsi="Arial" w:cs="Arial"/>
                <w:sz w:val="22"/>
                <w:szCs w:val="22"/>
              </w:rPr>
              <w:t>provision of reception facilities for oil and oily mixtures, the co-sponsors propose new text for insertion into chapter 15 to ensure that adequate reception facilities are in place</w:t>
            </w:r>
            <w:r w:rsidR="001F126E">
              <w:rPr>
                <w:rFonts w:ascii="Arial" w:hAnsi="Arial" w:cs="Arial"/>
                <w:sz w:val="22"/>
                <w:szCs w:val="22"/>
              </w:rPr>
              <w:t xml:space="preserve"> in the Arctic waters</w:t>
            </w:r>
            <w:r>
              <w:rPr>
                <w:rFonts w:ascii="Arial" w:hAnsi="Arial" w:cs="Arial"/>
                <w:sz w:val="22"/>
                <w:szCs w:val="22"/>
              </w:rPr>
              <w:t>.</w:t>
            </w:r>
            <w:r w:rsidR="00E701DD">
              <w:rPr>
                <w:rFonts w:ascii="Arial" w:hAnsi="Arial" w:cs="Arial"/>
                <w:sz w:val="22"/>
                <w:szCs w:val="22"/>
              </w:rPr>
              <w:t xml:space="preserve"> The intention of the regulatory text </w:t>
            </w:r>
            <w:r w:rsidR="00256D78">
              <w:rPr>
                <w:rFonts w:ascii="Arial" w:hAnsi="Arial" w:cs="Arial"/>
                <w:sz w:val="22"/>
                <w:szCs w:val="22"/>
              </w:rPr>
              <w:t xml:space="preserve">proposed </w:t>
            </w:r>
            <w:r w:rsidR="00E701DD">
              <w:rPr>
                <w:rFonts w:ascii="Arial" w:hAnsi="Arial" w:cs="Arial"/>
                <w:sz w:val="22"/>
                <w:szCs w:val="22"/>
              </w:rPr>
              <w:t>is to provide support to the international shipping industry and to ensure that the Code can fully stand the test of time.</w:t>
            </w:r>
          </w:p>
          <w:p w:rsidR="009D60EA" w:rsidRPr="00C35748" w:rsidRDefault="009D60EA" w:rsidP="00DE5619">
            <w:pPr>
              <w:rPr>
                <w:rFonts w:ascii="Arial" w:eastAsia="Arial Unicode MS" w:hAnsi="Arial" w:cs="Arial"/>
                <w:sz w:val="22"/>
                <w:szCs w:val="22"/>
              </w:rPr>
            </w:pPr>
          </w:p>
        </w:tc>
      </w:tr>
      <w:tr w:rsidR="009D60EA" w:rsidRPr="00C35748" w:rsidTr="00123776">
        <w:tc>
          <w:tcPr>
            <w:tcW w:w="2552" w:type="dxa"/>
          </w:tcPr>
          <w:p w:rsidR="009D60EA" w:rsidRPr="00C35748" w:rsidRDefault="009D60EA" w:rsidP="00DE5619">
            <w:pPr>
              <w:tabs>
                <w:tab w:val="left" w:pos="720"/>
                <w:tab w:val="left" w:pos="1440"/>
                <w:tab w:val="left" w:pos="2160"/>
                <w:tab w:val="left" w:pos="2880"/>
              </w:tabs>
              <w:spacing w:after="58"/>
              <w:rPr>
                <w:rFonts w:ascii="Arial" w:eastAsia="Arial Unicode MS" w:hAnsi="Arial" w:cs="Arial"/>
                <w:sz w:val="22"/>
                <w:szCs w:val="22"/>
              </w:rPr>
            </w:pPr>
            <w:r w:rsidRPr="00C35748">
              <w:rPr>
                <w:rFonts w:ascii="Arial" w:eastAsia="Arial Unicode MS" w:hAnsi="Arial" w:cs="Arial"/>
                <w:b/>
                <w:i/>
                <w:sz w:val="22"/>
                <w:szCs w:val="22"/>
              </w:rPr>
              <w:t>Strategic direction:</w:t>
            </w:r>
          </w:p>
        </w:tc>
        <w:tc>
          <w:tcPr>
            <w:tcW w:w="6821" w:type="dxa"/>
          </w:tcPr>
          <w:p w:rsidR="009D60EA" w:rsidRPr="00C35748" w:rsidRDefault="006F4FA2" w:rsidP="00DE5619">
            <w:pPr>
              <w:rPr>
                <w:rFonts w:ascii="Arial" w:eastAsia="Arial Unicode MS" w:hAnsi="Arial" w:cs="Arial"/>
                <w:sz w:val="22"/>
                <w:szCs w:val="22"/>
              </w:rPr>
            </w:pPr>
            <w:r w:rsidRPr="00C35748">
              <w:rPr>
                <w:rFonts w:ascii="Arial" w:eastAsia="Arial Unicode MS" w:hAnsi="Arial" w:cs="Arial"/>
                <w:sz w:val="22"/>
                <w:szCs w:val="22"/>
              </w:rPr>
              <w:t>5.2</w:t>
            </w:r>
            <w:r w:rsidR="00C35748">
              <w:rPr>
                <w:rFonts w:ascii="Arial" w:eastAsia="Arial Unicode MS" w:hAnsi="Arial" w:cs="Arial"/>
                <w:sz w:val="22"/>
                <w:szCs w:val="22"/>
              </w:rPr>
              <w:t>.1</w:t>
            </w:r>
          </w:p>
        </w:tc>
      </w:tr>
      <w:tr w:rsidR="009D60EA" w:rsidRPr="00C35748" w:rsidTr="00123776">
        <w:tc>
          <w:tcPr>
            <w:tcW w:w="2552" w:type="dxa"/>
          </w:tcPr>
          <w:p w:rsidR="00C3339B" w:rsidRPr="00C35748" w:rsidRDefault="00C3339B" w:rsidP="00DE5619">
            <w:pPr>
              <w:tabs>
                <w:tab w:val="left" w:pos="720"/>
                <w:tab w:val="left" w:pos="1440"/>
                <w:tab w:val="left" w:pos="2160"/>
                <w:tab w:val="left" w:pos="2880"/>
              </w:tabs>
              <w:spacing w:after="58"/>
              <w:rPr>
                <w:rFonts w:ascii="Arial" w:eastAsia="Arial Unicode MS" w:hAnsi="Arial" w:cs="Arial"/>
                <w:b/>
                <w:i/>
                <w:sz w:val="22"/>
                <w:szCs w:val="22"/>
              </w:rPr>
            </w:pPr>
          </w:p>
          <w:p w:rsidR="009D60EA" w:rsidRPr="00C35748" w:rsidRDefault="009D60EA" w:rsidP="00DE5619">
            <w:pPr>
              <w:tabs>
                <w:tab w:val="left" w:pos="720"/>
                <w:tab w:val="left" w:pos="1440"/>
                <w:tab w:val="left" w:pos="2160"/>
                <w:tab w:val="left" w:pos="2880"/>
              </w:tabs>
              <w:spacing w:after="58"/>
              <w:rPr>
                <w:rFonts w:ascii="Arial" w:eastAsia="Arial Unicode MS" w:hAnsi="Arial" w:cs="Arial"/>
                <w:sz w:val="22"/>
                <w:szCs w:val="22"/>
              </w:rPr>
            </w:pPr>
            <w:r w:rsidRPr="00C35748">
              <w:rPr>
                <w:rFonts w:ascii="Arial" w:eastAsia="Arial Unicode MS" w:hAnsi="Arial" w:cs="Arial"/>
                <w:b/>
                <w:i/>
                <w:sz w:val="22"/>
                <w:szCs w:val="22"/>
              </w:rPr>
              <w:t>High-level action:</w:t>
            </w:r>
          </w:p>
        </w:tc>
        <w:tc>
          <w:tcPr>
            <w:tcW w:w="6821" w:type="dxa"/>
          </w:tcPr>
          <w:p w:rsidR="00C3339B" w:rsidRPr="00C35748" w:rsidRDefault="00C3339B" w:rsidP="00DE5619">
            <w:pPr>
              <w:rPr>
                <w:rFonts w:ascii="Arial" w:eastAsia="Arial Unicode MS" w:hAnsi="Arial" w:cs="Arial"/>
                <w:sz w:val="22"/>
                <w:szCs w:val="22"/>
              </w:rPr>
            </w:pPr>
          </w:p>
          <w:p w:rsidR="009D60EA" w:rsidRPr="00C35748" w:rsidRDefault="006F4FA2" w:rsidP="00DE5619">
            <w:pPr>
              <w:rPr>
                <w:rFonts w:ascii="Arial" w:eastAsia="Arial Unicode MS" w:hAnsi="Arial" w:cs="Arial"/>
                <w:sz w:val="22"/>
                <w:szCs w:val="22"/>
              </w:rPr>
            </w:pPr>
            <w:r w:rsidRPr="00C35748">
              <w:rPr>
                <w:rFonts w:ascii="Arial" w:eastAsia="Arial Unicode MS" w:hAnsi="Arial" w:cs="Arial"/>
                <w:sz w:val="22"/>
                <w:szCs w:val="22"/>
              </w:rPr>
              <w:t>5.2</w:t>
            </w:r>
            <w:r w:rsidR="009D60EA" w:rsidRPr="00C35748">
              <w:rPr>
                <w:rFonts w:ascii="Arial" w:eastAsia="Arial Unicode MS" w:hAnsi="Arial" w:cs="Arial"/>
                <w:sz w:val="22"/>
                <w:szCs w:val="22"/>
              </w:rPr>
              <w:t>.1</w:t>
            </w:r>
            <w:r w:rsidR="00C35748">
              <w:rPr>
                <w:rFonts w:ascii="Arial" w:eastAsia="Arial Unicode MS" w:hAnsi="Arial" w:cs="Arial"/>
                <w:sz w:val="22"/>
                <w:szCs w:val="22"/>
              </w:rPr>
              <w:t>.1</w:t>
            </w:r>
          </w:p>
        </w:tc>
      </w:tr>
      <w:tr w:rsidR="009D60EA" w:rsidRPr="00C35748" w:rsidTr="00123776">
        <w:tc>
          <w:tcPr>
            <w:tcW w:w="2552" w:type="dxa"/>
          </w:tcPr>
          <w:p w:rsidR="00C3339B" w:rsidRPr="00C35748" w:rsidRDefault="00C3339B" w:rsidP="00DE5619">
            <w:pPr>
              <w:tabs>
                <w:tab w:val="left" w:pos="720"/>
                <w:tab w:val="left" w:pos="1440"/>
                <w:tab w:val="left" w:pos="2160"/>
                <w:tab w:val="left" w:pos="2880"/>
              </w:tabs>
              <w:spacing w:after="58"/>
              <w:rPr>
                <w:rFonts w:ascii="Arial" w:eastAsia="Arial Unicode MS" w:hAnsi="Arial" w:cs="Arial"/>
                <w:b/>
                <w:i/>
                <w:sz w:val="22"/>
                <w:szCs w:val="22"/>
              </w:rPr>
            </w:pPr>
          </w:p>
          <w:p w:rsidR="009D60EA" w:rsidRPr="00C35748" w:rsidRDefault="009D60EA" w:rsidP="00DE5619">
            <w:pPr>
              <w:tabs>
                <w:tab w:val="left" w:pos="720"/>
                <w:tab w:val="left" w:pos="1440"/>
                <w:tab w:val="left" w:pos="2160"/>
                <w:tab w:val="left" w:pos="2880"/>
              </w:tabs>
              <w:spacing w:after="58"/>
              <w:rPr>
                <w:rFonts w:ascii="Arial" w:eastAsia="Arial Unicode MS" w:hAnsi="Arial" w:cs="Arial"/>
                <w:sz w:val="22"/>
                <w:szCs w:val="22"/>
              </w:rPr>
            </w:pPr>
            <w:r w:rsidRPr="00C35748">
              <w:rPr>
                <w:rFonts w:ascii="Arial" w:eastAsia="Arial Unicode MS" w:hAnsi="Arial" w:cs="Arial"/>
                <w:b/>
                <w:i/>
                <w:sz w:val="22"/>
                <w:szCs w:val="22"/>
              </w:rPr>
              <w:t>Planned output:</w:t>
            </w:r>
          </w:p>
        </w:tc>
        <w:tc>
          <w:tcPr>
            <w:tcW w:w="6821" w:type="dxa"/>
          </w:tcPr>
          <w:p w:rsidR="00C3339B" w:rsidRPr="00C35748" w:rsidRDefault="00C3339B" w:rsidP="00DE5619">
            <w:pPr>
              <w:rPr>
                <w:rFonts w:ascii="Arial" w:eastAsia="Arial Unicode MS" w:hAnsi="Arial" w:cs="Arial"/>
                <w:sz w:val="22"/>
                <w:szCs w:val="22"/>
              </w:rPr>
            </w:pPr>
          </w:p>
          <w:p w:rsidR="009D60EA" w:rsidRPr="00C35748" w:rsidRDefault="006F4FA2" w:rsidP="00DE5619">
            <w:pPr>
              <w:rPr>
                <w:rFonts w:ascii="Arial" w:eastAsia="Arial Unicode MS" w:hAnsi="Arial" w:cs="Arial"/>
                <w:sz w:val="22"/>
                <w:szCs w:val="22"/>
              </w:rPr>
            </w:pPr>
            <w:r w:rsidRPr="00C35748">
              <w:rPr>
                <w:rFonts w:ascii="Arial" w:eastAsia="Arial Unicode MS" w:hAnsi="Arial" w:cs="Arial"/>
                <w:sz w:val="22"/>
                <w:szCs w:val="22"/>
              </w:rPr>
              <w:t>5.2</w:t>
            </w:r>
            <w:r w:rsidR="009D60EA" w:rsidRPr="00C35748">
              <w:rPr>
                <w:rFonts w:ascii="Arial" w:eastAsia="Arial Unicode MS" w:hAnsi="Arial" w:cs="Arial"/>
                <w:sz w:val="22"/>
                <w:szCs w:val="22"/>
              </w:rPr>
              <w:t>.1.1</w:t>
            </w:r>
            <w:r w:rsidRPr="00C35748">
              <w:rPr>
                <w:rFonts w:ascii="Arial" w:eastAsia="Arial Unicode MS" w:hAnsi="Arial" w:cs="Arial"/>
                <w:sz w:val="22"/>
                <w:szCs w:val="22"/>
              </w:rPr>
              <w:t>.17</w:t>
            </w:r>
          </w:p>
        </w:tc>
      </w:tr>
      <w:tr w:rsidR="009D60EA" w:rsidRPr="00C35748" w:rsidTr="00123776">
        <w:tc>
          <w:tcPr>
            <w:tcW w:w="2552" w:type="dxa"/>
          </w:tcPr>
          <w:p w:rsidR="00C3339B" w:rsidRPr="00C35748" w:rsidRDefault="00C3339B" w:rsidP="00DE5619">
            <w:pPr>
              <w:tabs>
                <w:tab w:val="left" w:pos="720"/>
                <w:tab w:val="left" w:pos="1440"/>
                <w:tab w:val="left" w:pos="2160"/>
                <w:tab w:val="left" w:pos="2880"/>
              </w:tabs>
              <w:spacing w:after="58"/>
              <w:rPr>
                <w:rFonts w:ascii="Arial" w:eastAsia="Arial Unicode MS" w:hAnsi="Arial" w:cs="Arial"/>
                <w:b/>
                <w:i/>
                <w:sz w:val="22"/>
                <w:szCs w:val="22"/>
              </w:rPr>
            </w:pPr>
          </w:p>
          <w:p w:rsidR="009D60EA" w:rsidRPr="00C35748" w:rsidRDefault="009D60EA" w:rsidP="00DE5619">
            <w:pPr>
              <w:tabs>
                <w:tab w:val="left" w:pos="720"/>
                <w:tab w:val="left" w:pos="1440"/>
                <w:tab w:val="left" w:pos="2160"/>
                <w:tab w:val="left" w:pos="2880"/>
              </w:tabs>
              <w:spacing w:after="58"/>
              <w:rPr>
                <w:rFonts w:ascii="Arial" w:eastAsia="Arial Unicode MS" w:hAnsi="Arial" w:cs="Arial"/>
                <w:sz w:val="22"/>
                <w:szCs w:val="22"/>
              </w:rPr>
            </w:pPr>
            <w:r w:rsidRPr="00C35748">
              <w:rPr>
                <w:rFonts w:ascii="Arial" w:eastAsia="Arial Unicode MS" w:hAnsi="Arial" w:cs="Arial"/>
                <w:b/>
                <w:i/>
                <w:sz w:val="22"/>
                <w:szCs w:val="22"/>
              </w:rPr>
              <w:t>Action to be taken:</w:t>
            </w:r>
          </w:p>
        </w:tc>
        <w:tc>
          <w:tcPr>
            <w:tcW w:w="6821" w:type="dxa"/>
          </w:tcPr>
          <w:p w:rsidR="00C3339B" w:rsidRPr="00C35748" w:rsidRDefault="00C3339B" w:rsidP="00DE5619">
            <w:pPr>
              <w:rPr>
                <w:rFonts w:ascii="Arial" w:eastAsia="Arial Unicode MS" w:hAnsi="Arial" w:cs="Arial"/>
                <w:sz w:val="22"/>
                <w:szCs w:val="22"/>
              </w:rPr>
            </w:pPr>
            <w:bookmarkStart w:id="10" w:name="Action"/>
            <w:bookmarkStart w:id="11" w:name="Text3"/>
            <w:bookmarkEnd w:id="10"/>
          </w:p>
          <w:p w:rsidR="009D60EA" w:rsidRPr="00C35748" w:rsidRDefault="009D60EA" w:rsidP="00DE5619">
            <w:pPr>
              <w:rPr>
                <w:rFonts w:ascii="Arial" w:eastAsia="Arial Unicode MS" w:hAnsi="Arial" w:cs="Arial"/>
                <w:sz w:val="22"/>
                <w:szCs w:val="22"/>
              </w:rPr>
            </w:pPr>
            <w:r w:rsidRPr="00C35748">
              <w:rPr>
                <w:rFonts w:ascii="Arial" w:eastAsia="Arial Unicode MS" w:hAnsi="Arial" w:cs="Arial"/>
                <w:sz w:val="22"/>
                <w:szCs w:val="22"/>
              </w:rPr>
              <w:t>Paragraph</w:t>
            </w:r>
            <w:bookmarkEnd w:id="11"/>
            <w:r w:rsidR="00AE437D" w:rsidRPr="00C35748">
              <w:rPr>
                <w:rFonts w:ascii="Arial" w:eastAsia="Arial Unicode MS" w:hAnsi="Arial" w:cs="Arial"/>
                <w:sz w:val="22"/>
                <w:szCs w:val="22"/>
              </w:rPr>
              <w:t xml:space="preserve"> </w:t>
            </w:r>
            <w:r w:rsidR="00D6156E">
              <w:rPr>
                <w:rFonts w:ascii="Arial" w:eastAsia="Arial Unicode MS" w:hAnsi="Arial" w:cs="Arial"/>
                <w:sz w:val="22"/>
                <w:szCs w:val="22"/>
              </w:rPr>
              <w:t>9</w:t>
            </w:r>
          </w:p>
        </w:tc>
      </w:tr>
      <w:tr w:rsidR="009D60EA" w:rsidRPr="00C35748" w:rsidTr="00123776">
        <w:tc>
          <w:tcPr>
            <w:tcW w:w="2552" w:type="dxa"/>
          </w:tcPr>
          <w:p w:rsidR="00C3339B" w:rsidRPr="00C35748" w:rsidRDefault="00C3339B" w:rsidP="00DE5619">
            <w:pPr>
              <w:tabs>
                <w:tab w:val="left" w:pos="720"/>
                <w:tab w:val="left" w:pos="1440"/>
                <w:tab w:val="left" w:pos="2160"/>
                <w:tab w:val="left" w:pos="2880"/>
              </w:tabs>
              <w:spacing w:after="58"/>
              <w:rPr>
                <w:rFonts w:ascii="Arial" w:eastAsia="Arial Unicode MS" w:hAnsi="Arial" w:cs="Arial"/>
                <w:b/>
                <w:i/>
                <w:sz w:val="22"/>
                <w:szCs w:val="22"/>
              </w:rPr>
            </w:pPr>
          </w:p>
          <w:p w:rsidR="009D60EA" w:rsidRPr="00C35748" w:rsidRDefault="009D60EA" w:rsidP="00DE5619">
            <w:pPr>
              <w:tabs>
                <w:tab w:val="left" w:pos="720"/>
                <w:tab w:val="left" w:pos="1440"/>
                <w:tab w:val="left" w:pos="2160"/>
                <w:tab w:val="left" w:pos="2880"/>
              </w:tabs>
              <w:spacing w:after="58"/>
              <w:rPr>
                <w:rFonts w:ascii="Arial" w:eastAsia="Arial Unicode MS" w:hAnsi="Arial" w:cs="Arial"/>
                <w:sz w:val="22"/>
                <w:szCs w:val="22"/>
              </w:rPr>
            </w:pPr>
            <w:r w:rsidRPr="00C35748">
              <w:rPr>
                <w:rFonts w:ascii="Arial" w:eastAsia="Arial Unicode MS" w:hAnsi="Arial" w:cs="Arial"/>
                <w:b/>
                <w:i/>
                <w:sz w:val="22"/>
                <w:szCs w:val="22"/>
              </w:rPr>
              <w:t xml:space="preserve">Related </w:t>
            </w:r>
            <w:r w:rsidR="008E7825" w:rsidRPr="00C35748">
              <w:rPr>
                <w:rFonts w:ascii="Arial" w:eastAsia="Arial Unicode MS" w:hAnsi="Arial" w:cs="Arial"/>
                <w:b/>
                <w:i/>
                <w:sz w:val="22"/>
                <w:szCs w:val="22"/>
              </w:rPr>
              <w:t>D</w:t>
            </w:r>
            <w:r w:rsidRPr="00C35748">
              <w:rPr>
                <w:rFonts w:ascii="Arial" w:eastAsia="Arial Unicode MS" w:hAnsi="Arial" w:cs="Arial"/>
                <w:b/>
                <w:i/>
                <w:sz w:val="22"/>
                <w:szCs w:val="22"/>
              </w:rPr>
              <w:t>ocuments:</w:t>
            </w:r>
          </w:p>
        </w:tc>
        <w:tc>
          <w:tcPr>
            <w:tcW w:w="6821" w:type="dxa"/>
          </w:tcPr>
          <w:p w:rsidR="00D5655C" w:rsidRPr="00C35748" w:rsidRDefault="00D5655C" w:rsidP="00DE5619">
            <w:pPr>
              <w:autoSpaceDE w:val="0"/>
              <w:autoSpaceDN w:val="0"/>
              <w:adjustRightInd w:val="0"/>
              <w:snapToGrid w:val="0"/>
              <w:rPr>
                <w:rFonts w:ascii="Arial" w:eastAsia="Arial Unicode MS" w:hAnsi="Arial" w:cs="Arial"/>
                <w:sz w:val="22"/>
                <w:szCs w:val="22"/>
                <w:lang w:eastAsia="en-GB"/>
              </w:rPr>
            </w:pPr>
            <w:bookmarkStart w:id="12" w:name="Reldoc"/>
            <w:bookmarkEnd w:id="12"/>
          </w:p>
          <w:p w:rsidR="00922770" w:rsidRPr="00C35748" w:rsidRDefault="00922770" w:rsidP="00DE5619">
            <w:pPr>
              <w:autoSpaceDE w:val="0"/>
              <w:autoSpaceDN w:val="0"/>
              <w:adjustRightInd w:val="0"/>
              <w:snapToGrid w:val="0"/>
              <w:rPr>
                <w:rFonts w:ascii="Arial" w:eastAsia="Arial Unicode MS" w:hAnsi="Arial" w:cs="Arial"/>
                <w:sz w:val="22"/>
                <w:szCs w:val="22"/>
                <w:lang w:eastAsia="en-GB"/>
              </w:rPr>
            </w:pPr>
            <w:r w:rsidRPr="00C35748">
              <w:rPr>
                <w:rFonts w:ascii="Arial" w:eastAsia="Arial Unicode MS" w:hAnsi="Arial" w:cs="Arial"/>
                <w:sz w:val="22"/>
                <w:szCs w:val="22"/>
                <w:lang w:eastAsia="en-GB"/>
              </w:rPr>
              <w:t xml:space="preserve">DE </w:t>
            </w:r>
            <w:r w:rsidR="00812F27">
              <w:rPr>
                <w:rFonts w:ascii="Arial" w:eastAsia="Arial Unicode MS" w:hAnsi="Arial" w:cs="Arial"/>
                <w:sz w:val="22"/>
                <w:szCs w:val="22"/>
                <w:lang w:eastAsia="en-GB"/>
              </w:rPr>
              <w:t>57/</w:t>
            </w:r>
            <w:r w:rsidRPr="00C35748">
              <w:rPr>
                <w:rFonts w:ascii="Arial" w:eastAsia="Arial Unicode MS" w:hAnsi="Arial" w:cs="Arial"/>
                <w:sz w:val="22"/>
                <w:szCs w:val="22"/>
                <w:lang w:eastAsia="en-GB"/>
              </w:rPr>
              <w:t xml:space="preserve">WP6, DE </w:t>
            </w:r>
            <w:r w:rsidR="00812F27">
              <w:rPr>
                <w:rFonts w:ascii="Arial" w:eastAsia="Arial Unicode MS" w:hAnsi="Arial" w:cs="Arial"/>
                <w:sz w:val="22"/>
                <w:szCs w:val="22"/>
                <w:lang w:eastAsia="en-GB"/>
              </w:rPr>
              <w:t>57/</w:t>
            </w:r>
            <w:r w:rsidRPr="00C35748">
              <w:rPr>
                <w:rFonts w:ascii="Arial" w:eastAsia="Arial Unicode MS" w:hAnsi="Arial" w:cs="Arial"/>
                <w:sz w:val="22"/>
                <w:szCs w:val="22"/>
                <w:lang w:eastAsia="en-GB"/>
              </w:rPr>
              <w:t xml:space="preserve">WP 6.Add.1, </w:t>
            </w:r>
            <w:r w:rsidRPr="00C35748">
              <w:rPr>
                <w:rFonts w:ascii="Arial" w:hAnsi="Arial" w:cs="Arial"/>
                <w:sz w:val="22"/>
                <w:szCs w:val="22"/>
              </w:rPr>
              <w:t>MEPC 65/11/8, MEPC 65/22</w:t>
            </w:r>
          </w:p>
          <w:p w:rsidR="009D60EA" w:rsidRPr="00C35748" w:rsidRDefault="009D60EA" w:rsidP="00DE5619">
            <w:pPr>
              <w:rPr>
                <w:rFonts w:ascii="Arial" w:eastAsia="Arial Unicode MS" w:hAnsi="Arial" w:cs="Arial"/>
                <w:sz w:val="22"/>
                <w:szCs w:val="22"/>
              </w:rPr>
            </w:pPr>
          </w:p>
        </w:tc>
      </w:tr>
    </w:tbl>
    <w:p w:rsidR="000354B0" w:rsidRPr="00C35748" w:rsidRDefault="000354B0" w:rsidP="00DE5619">
      <w:pPr>
        <w:rPr>
          <w:rFonts w:ascii="Arial" w:eastAsia="Arial Unicode MS" w:hAnsi="Arial" w:cs="Arial"/>
          <w:b/>
          <w:sz w:val="22"/>
          <w:szCs w:val="22"/>
        </w:rPr>
      </w:pPr>
    </w:p>
    <w:p w:rsidR="000354B0" w:rsidRPr="00C35748" w:rsidRDefault="000354B0" w:rsidP="00DE5619">
      <w:pPr>
        <w:rPr>
          <w:rFonts w:ascii="Arial" w:eastAsia="Arial Unicode MS" w:hAnsi="Arial" w:cs="Arial"/>
          <w:b/>
          <w:sz w:val="22"/>
          <w:szCs w:val="22"/>
        </w:rPr>
      </w:pPr>
    </w:p>
    <w:p w:rsidR="009D60EA" w:rsidRPr="00C35748" w:rsidRDefault="001F126E" w:rsidP="00DE5619">
      <w:pPr>
        <w:rPr>
          <w:rFonts w:ascii="Arial" w:eastAsia="Arial Unicode MS" w:hAnsi="Arial" w:cs="Arial"/>
          <w:b/>
          <w:sz w:val="22"/>
          <w:szCs w:val="22"/>
        </w:rPr>
      </w:pPr>
      <w:r>
        <w:rPr>
          <w:rFonts w:ascii="Arial" w:eastAsia="Arial Unicode MS" w:hAnsi="Arial" w:cs="Arial"/>
          <w:b/>
          <w:sz w:val="22"/>
          <w:szCs w:val="22"/>
        </w:rPr>
        <w:t>Background</w:t>
      </w:r>
    </w:p>
    <w:p w:rsidR="009D60EA" w:rsidRPr="00C35748" w:rsidRDefault="009D60EA" w:rsidP="00DE5619">
      <w:pPr>
        <w:rPr>
          <w:rFonts w:ascii="Arial" w:eastAsia="Arial Unicode MS" w:hAnsi="Arial" w:cs="Arial"/>
          <w:sz w:val="22"/>
          <w:szCs w:val="22"/>
        </w:rPr>
      </w:pPr>
    </w:p>
    <w:p w:rsidR="001F126E" w:rsidRDefault="001F126E" w:rsidP="001F126E">
      <w:pPr>
        <w:pStyle w:val="Default"/>
        <w:jc w:val="both"/>
        <w:rPr>
          <w:b/>
          <w:sz w:val="22"/>
          <w:szCs w:val="22"/>
        </w:rPr>
      </w:pPr>
      <w:r>
        <w:rPr>
          <w:rFonts w:eastAsia="Arial Unicode MS"/>
          <w:sz w:val="22"/>
          <w:szCs w:val="22"/>
        </w:rPr>
        <w:t>1</w:t>
      </w:r>
      <w:r>
        <w:rPr>
          <w:sz w:val="22"/>
          <w:szCs w:val="22"/>
        </w:rPr>
        <w:tab/>
        <w:t xml:space="preserve"> When discussing additional requirements to those of MARPOL Annex 1 that should be included in the Polar Code, MEPC 65 agreed to prohibit any discharge into the sea of oil or oily mixtures from any ships operating in Arctic waters.  The co-sponsors fully support this decision</w:t>
      </w:r>
      <w:r w:rsidR="00E701DD">
        <w:rPr>
          <w:sz w:val="22"/>
          <w:szCs w:val="22"/>
        </w:rPr>
        <w:t xml:space="preserve"> and fully agree with</w:t>
      </w:r>
      <w:r w:rsidR="008108FF">
        <w:rPr>
          <w:sz w:val="22"/>
          <w:szCs w:val="22"/>
        </w:rPr>
        <w:t xml:space="preserve"> the principle that there shall</w:t>
      </w:r>
      <w:r w:rsidR="00E701DD">
        <w:rPr>
          <w:sz w:val="22"/>
          <w:szCs w:val="22"/>
        </w:rPr>
        <w:t xml:space="preserve"> be no discharge of oil and oily mixtures into the pristine waters of the Arctic</w:t>
      </w:r>
      <w:r>
        <w:rPr>
          <w:sz w:val="22"/>
          <w:szCs w:val="22"/>
        </w:rPr>
        <w:t xml:space="preserve">.  </w:t>
      </w:r>
      <w:r w:rsidR="00E701DD">
        <w:rPr>
          <w:sz w:val="22"/>
          <w:szCs w:val="22"/>
        </w:rPr>
        <w:t>I</w:t>
      </w:r>
      <w:r>
        <w:rPr>
          <w:sz w:val="22"/>
          <w:szCs w:val="22"/>
        </w:rPr>
        <w:t>n light of th</w:t>
      </w:r>
      <w:r w:rsidR="00E701DD">
        <w:rPr>
          <w:sz w:val="22"/>
          <w:szCs w:val="22"/>
        </w:rPr>
        <w:t>e</w:t>
      </w:r>
      <w:r>
        <w:rPr>
          <w:sz w:val="22"/>
          <w:szCs w:val="22"/>
        </w:rPr>
        <w:t xml:space="preserve"> decision, it was proposed at MEPC 65 that mandatory requirements for reception facilities should be developed so as to ensure and facilitate the effective implementation of this discharge prohibition requirement.  The Committee invited Member Governments and international organizations to submit their proposals and comments on this matter to DE 58 for consideration.  In this document, the co-sponsors propose that additional text should be inserted into chapter 15 of the Polar Code to </w:t>
      </w:r>
      <w:proofErr w:type="gramStart"/>
      <w:r w:rsidR="00C85B29">
        <w:rPr>
          <w:sz w:val="22"/>
          <w:szCs w:val="22"/>
        </w:rPr>
        <w:t xml:space="preserve">address </w:t>
      </w:r>
      <w:r>
        <w:rPr>
          <w:sz w:val="22"/>
          <w:szCs w:val="22"/>
        </w:rPr>
        <w:t xml:space="preserve"> adequate</w:t>
      </w:r>
      <w:proofErr w:type="gramEnd"/>
      <w:r>
        <w:rPr>
          <w:sz w:val="22"/>
          <w:szCs w:val="22"/>
        </w:rPr>
        <w:t xml:space="preserve"> reception facilities for oil and oily mixtures.</w:t>
      </w:r>
    </w:p>
    <w:p w:rsidR="00520E2F" w:rsidRDefault="00520E2F" w:rsidP="00DE5619">
      <w:pPr>
        <w:pStyle w:val="Default"/>
        <w:jc w:val="both"/>
        <w:rPr>
          <w:sz w:val="22"/>
          <w:szCs w:val="22"/>
        </w:rPr>
      </w:pPr>
    </w:p>
    <w:p w:rsidR="00520E2F" w:rsidRPr="00520E2F" w:rsidRDefault="00520E2F" w:rsidP="00DE5619">
      <w:pPr>
        <w:pStyle w:val="Default"/>
        <w:jc w:val="both"/>
        <w:rPr>
          <w:b/>
          <w:sz w:val="22"/>
          <w:szCs w:val="22"/>
        </w:rPr>
      </w:pPr>
      <w:r w:rsidRPr="00520E2F">
        <w:rPr>
          <w:b/>
          <w:sz w:val="22"/>
          <w:szCs w:val="22"/>
        </w:rPr>
        <w:t>Existing regulations</w:t>
      </w:r>
    </w:p>
    <w:p w:rsidR="00520E2F" w:rsidRDefault="00520E2F" w:rsidP="00DE5619">
      <w:pPr>
        <w:pStyle w:val="Default"/>
        <w:jc w:val="both"/>
        <w:rPr>
          <w:sz w:val="22"/>
          <w:szCs w:val="22"/>
        </w:rPr>
      </w:pPr>
    </w:p>
    <w:p w:rsidR="00520E2F" w:rsidRDefault="001F126E" w:rsidP="00DE5619">
      <w:pPr>
        <w:pStyle w:val="Default"/>
        <w:jc w:val="both"/>
        <w:rPr>
          <w:sz w:val="22"/>
          <w:szCs w:val="22"/>
        </w:rPr>
      </w:pPr>
      <w:r>
        <w:rPr>
          <w:sz w:val="22"/>
          <w:szCs w:val="22"/>
        </w:rPr>
        <w:t>2</w:t>
      </w:r>
      <w:r w:rsidR="00520E2F">
        <w:rPr>
          <w:sz w:val="22"/>
          <w:szCs w:val="22"/>
        </w:rPr>
        <w:tab/>
        <w:t>The Polar Code has been designed and is being developed as</w:t>
      </w:r>
      <w:r w:rsidR="006E6675">
        <w:rPr>
          <w:sz w:val="22"/>
          <w:szCs w:val="22"/>
        </w:rPr>
        <w:t xml:space="preserve"> a</w:t>
      </w:r>
      <w:r w:rsidR="00520E2F">
        <w:rPr>
          <w:sz w:val="22"/>
          <w:szCs w:val="22"/>
        </w:rPr>
        <w:t xml:space="preserve"> </w:t>
      </w:r>
      <w:r w:rsidR="006E6675">
        <w:rPr>
          <w:sz w:val="22"/>
          <w:szCs w:val="22"/>
        </w:rPr>
        <w:t>supplement</w:t>
      </w:r>
      <w:r w:rsidR="00EE6B9B">
        <w:rPr>
          <w:sz w:val="22"/>
          <w:szCs w:val="22"/>
        </w:rPr>
        <w:t xml:space="preserve"> to</w:t>
      </w:r>
      <w:r w:rsidR="006E6675">
        <w:rPr>
          <w:sz w:val="22"/>
          <w:szCs w:val="22"/>
        </w:rPr>
        <w:t xml:space="preserve"> existing IMO instruments</w:t>
      </w:r>
      <w:r w:rsidR="00520E2F">
        <w:rPr>
          <w:sz w:val="22"/>
          <w:szCs w:val="22"/>
        </w:rPr>
        <w:t>.</w:t>
      </w:r>
      <w:r w:rsidR="00400B28">
        <w:rPr>
          <w:sz w:val="22"/>
          <w:szCs w:val="22"/>
        </w:rPr>
        <w:t xml:space="preserve"> Chapter 3 Part C regulation 15.4 and Chapter 4 regulation 34 B </w:t>
      </w:r>
      <w:r w:rsidR="00520E2F">
        <w:rPr>
          <w:sz w:val="22"/>
          <w:szCs w:val="22"/>
        </w:rPr>
        <w:t>of Annex I contain the provision</w:t>
      </w:r>
      <w:r w:rsidR="00400B28">
        <w:rPr>
          <w:sz w:val="22"/>
          <w:szCs w:val="22"/>
        </w:rPr>
        <w:t>s</w:t>
      </w:r>
      <w:r w:rsidR="00520E2F">
        <w:rPr>
          <w:sz w:val="22"/>
          <w:szCs w:val="22"/>
        </w:rPr>
        <w:t xml:space="preserve"> whereby discharge of oil and oily mixtures in </w:t>
      </w:r>
      <w:r w:rsidR="0016788D">
        <w:rPr>
          <w:sz w:val="22"/>
          <w:szCs w:val="22"/>
        </w:rPr>
        <w:t xml:space="preserve">the Antarctic </w:t>
      </w:r>
      <w:r w:rsidR="00B16B26">
        <w:rPr>
          <w:sz w:val="22"/>
          <w:szCs w:val="22"/>
        </w:rPr>
        <w:t xml:space="preserve">special area </w:t>
      </w:r>
      <w:r w:rsidR="00EE6B9B">
        <w:rPr>
          <w:sz w:val="22"/>
          <w:szCs w:val="22"/>
        </w:rPr>
        <w:t>are</w:t>
      </w:r>
      <w:r w:rsidR="00520E2F">
        <w:rPr>
          <w:sz w:val="22"/>
          <w:szCs w:val="22"/>
        </w:rPr>
        <w:t xml:space="preserve"> prohibited. </w:t>
      </w:r>
    </w:p>
    <w:p w:rsidR="006E6675" w:rsidRDefault="006E6675" w:rsidP="00DE5619">
      <w:pPr>
        <w:pStyle w:val="Default"/>
        <w:jc w:val="both"/>
        <w:rPr>
          <w:sz w:val="22"/>
          <w:szCs w:val="22"/>
        </w:rPr>
      </w:pPr>
    </w:p>
    <w:p w:rsidR="00512933" w:rsidRDefault="001F126E" w:rsidP="00DE5619">
      <w:pPr>
        <w:pStyle w:val="Default"/>
        <w:jc w:val="both"/>
        <w:rPr>
          <w:sz w:val="22"/>
          <w:szCs w:val="22"/>
        </w:rPr>
      </w:pPr>
      <w:r>
        <w:rPr>
          <w:sz w:val="22"/>
          <w:szCs w:val="22"/>
        </w:rPr>
        <w:t>3</w:t>
      </w:r>
      <w:r w:rsidR="00520E2F">
        <w:rPr>
          <w:sz w:val="22"/>
          <w:szCs w:val="22"/>
        </w:rPr>
        <w:tab/>
        <w:t xml:space="preserve">Under </w:t>
      </w:r>
      <w:r w:rsidR="0016788D">
        <w:rPr>
          <w:sz w:val="22"/>
          <w:szCs w:val="22"/>
        </w:rPr>
        <w:t>Chapter 6 Regulation 38 B 4</w:t>
      </w:r>
      <w:r w:rsidR="00297A98">
        <w:rPr>
          <w:sz w:val="22"/>
          <w:szCs w:val="22"/>
        </w:rPr>
        <w:t xml:space="preserve"> of Annex I,</w:t>
      </w:r>
      <w:r w:rsidR="0016788D">
        <w:rPr>
          <w:sz w:val="22"/>
          <w:szCs w:val="22"/>
        </w:rPr>
        <w:t xml:space="preserve"> the requirements for </w:t>
      </w:r>
      <w:r w:rsidR="00B16B26" w:rsidRPr="00B16B26">
        <w:rPr>
          <w:sz w:val="22"/>
          <w:szCs w:val="22"/>
        </w:rPr>
        <w:t xml:space="preserve">reception facilities </w:t>
      </w:r>
      <w:r w:rsidR="0016788D">
        <w:rPr>
          <w:sz w:val="22"/>
          <w:szCs w:val="22"/>
        </w:rPr>
        <w:t xml:space="preserve">within special areas are detailed. </w:t>
      </w:r>
      <w:r w:rsidR="00B16B26">
        <w:rPr>
          <w:sz w:val="22"/>
          <w:szCs w:val="22"/>
        </w:rPr>
        <w:t xml:space="preserve">These are requirements which are already applicable to the Antarctic area. </w:t>
      </w:r>
      <w:r w:rsidR="00512933">
        <w:rPr>
          <w:sz w:val="22"/>
          <w:szCs w:val="22"/>
        </w:rPr>
        <w:t>However, no such provisions apply to the Arctic.</w:t>
      </w:r>
      <w:r w:rsidR="000B4953" w:rsidRPr="000B4953">
        <w:rPr>
          <w:sz w:val="22"/>
          <w:szCs w:val="22"/>
        </w:rPr>
        <w:t xml:space="preserve"> </w:t>
      </w:r>
      <w:r w:rsidR="000B4953">
        <w:rPr>
          <w:sz w:val="22"/>
          <w:szCs w:val="22"/>
        </w:rPr>
        <w:t>Therefore, this new regulation in the Polar Code simply extends the prohibition to the Arctic.</w:t>
      </w:r>
    </w:p>
    <w:p w:rsidR="00512933" w:rsidRDefault="00512933" w:rsidP="00DE5619">
      <w:pPr>
        <w:pStyle w:val="Default"/>
        <w:jc w:val="both"/>
        <w:rPr>
          <w:sz w:val="22"/>
          <w:szCs w:val="22"/>
        </w:rPr>
      </w:pPr>
    </w:p>
    <w:p w:rsidR="0016788D" w:rsidRPr="0016788D" w:rsidRDefault="0016788D" w:rsidP="00DE5619">
      <w:pPr>
        <w:pStyle w:val="Default"/>
        <w:jc w:val="both"/>
        <w:rPr>
          <w:b/>
          <w:sz w:val="22"/>
          <w:szCs w:val="22"/>
        </w:rPr>
      </w:pPr>
      <w:r w:rsidRPr="0016788D">
        <w:rPr>
          <w:b/>
          <w:sz w:val="22"/>
          <w:szCs w:val="22"/>
        </w:rPr>
        <w:t xml:space="preserve">Necessity of </w:t>
      </w:r>
      <w:r w:rsidR="00B16B26" w:rsidRPr="0016788D">
        <w:rPr>
          <w:b/>
          <w:sz w:val="22"/>
          <w:szCs w:val="22"/>
        </w:rPr>
        <w:t>reception facilities</w:t>
      </w:r>
    </w:p>
    <w:p w:rsidR="00C35748" w:rsidRDefault="00C35748" w:rsidP="00DE5619">
      <w:pPr>
        <w:pStyle w:val="Default"/>
        <w:jc w:val="both"/>
        <w:rPr>
          <w:sz w:val="22"/>
          <w:szCs w:val="22"/>
        </w:rPr>
      </w:pPr>
    </w:p>
    <w:p w:rsidR="00B16B26" w:rsidRDefault="001F126E" w:rsidP="00DE5619">
      <w:pPr>
        <w:pStyle w:val="Default"/>
        <w:jc w:val="both"/>
        <w:rPr>
          <w:sz w:val="22"/>
          <w:szCs w:val="22"/>
        </w:rPr>
      </w:pPr>
      <w:r>
        <w:rPr>
          <w:sz w:val="22"/>
          <w:szCs w:val="22"/>
        </w:rPr>
        <w:t>4</w:t>
      </w:r>
      <w:r w:rsidR="00B16B26">
        <w:rPr>
          <w:sz w:val="22"/>
          <w:szCs w:val="22"/>
        </w:rPr>
        <w:tab/>
        <w:t xml:space="preserve">At MEPC 65, during the debate on </w:t>
      </w:r>
      <w:r w:rsidR="00F007B4">
        <w:rPr>
          <w:sz w:val="22"/>
          <w:szCs w:val="22"/>
        </w:rPr>
        <w:t>the provision of adequate reception facilities, the Committee agreed that a zero tolerance of illegal discharges could only be enforced when adequate reception facilities are in place. Section 10.5 of the report of MEPC 65 states:</w:t>
      </w:r>
    </w:p>
    <w:p w:rsidR="00B16B26" w:rsidRDefault="00B16B26" w:rsidP="00DE5619">
      <w:pPr>
        <w:pStyle w:val="Default"/>
        <w:jc w:val="both"/>
        <w:rPr>
          <w:sz w:val="22"/>
          <w:szCs w:val="22"/>
        </w:rPr>
      </w:pPr>
    </w:p>
    <w:p w:rsidR="00B16B26" w:rsidRPr="00C35748" w:rsidRDefault="00655E2A" w:rsidP="00DE5619">
      <w:pPr>
        <w:ind w:left="720"/>
        <w:rPr>
          <w:rFonts w:ascii="Arial" w:hAnsi="Arial" w:cs="Arial"/>
          <w:sz w:val="22"/>
          <w:szCs w:val="22"/>
        </w:rPr>
      </w:pPr>
      <w:r>
        <w:rPr>
          <w:rFonts w:ascii="Arial" w:hAnsi="Arial" w:cs="Arial"/>
          <w:sz w:val="22"/>
          <w:szCs w:val="22"/>
        </w:rPr>
        <w:t>‘</w:t>
      </w:r>
      <w:r w:rsidR="00B16B26" w:rsidRPr="00C35748">
        <w:rPr>
          <w:rFonts w:ascii="Arial" w:hAnsi="Arial" w:cs="Arial"/>
          <w:sz w:val="22"/>
          <w:szCs w:val="22"/>
        </w:rPr>
        <w:t>10.5 The Committee, in recalling that the policy of "zero tolerance of illegal discharges from ships" can only be effectively enforced when there are adequate reception facilities in ports, urged all Parties to the MARPOL Convention, in particular port States, to fulfil their treaty obligations by providing adequate reception facilities for wastes generated during</w:t>
      </w:r>
      <w:r>
        <w:rPr>
          <w:rFonts w:ascii="Arial" w:hAnsi="Arial" w:cs="Arial"/>
          <w:sz w:val="22"/>
          <w:szCs w:val="22"/>
        </w:rPr>
        <w:t xml:space="preserve"> the normal operation of ships.’</w:t>
      </w:r>
    </w:p>
    <w:p w:rsidR="00B16B26" w:rsidRDefault="00B16B26" w:rsidP="00DE5619">
      <w:pPr>
        <w:pStyle w:val="Default"/>
        <w:jc w:val="both"/>
        <w:rPr>
          <w:sz w:val="22"/>
          <w:szCs w:val="22"/>
        </w:rPr>
      </w:pPr>
    </w:p>
    <w:p w:rsidR="00D66219" w:rsidRDefault="001F126E" w:rsidP="00DE5619">
      <w:pPr>
        <w:pStyle w:val="Default"/>
        <w:jc w:val="both"/>
        <w:rPr>
          <w:sz w:val="22"/>
          <w:szCs w:val="22"/>
        </w:rPr>
      </w:pPr>
      <w:r>
        <w:rPr>
          <w:sz w:val="22"/>
          <w:szCs w:val="22"/>
        </w:rPr>
        <w:t>5</w:t>
      </w:r>
      <w:r>
        <w:rPr>
          <w:sz w:val="22"/>
          <w:szCs w:val="22"/>
        </w:rPr>
        <w:tab/>
      </w:r>
      <w:r w:rsidR="005D68A0">
        <w:rPr>
          <w:sz w:val="22"/>
          <w:szCs w:val="22"/>
        </w:rPr>
        <w:t xml:space="preserve">It is an unavoidable reality that </w:t>
      </w:r>
      <w:r w:rsidR="003959C4">
        <w:rPr>
          <w:sz w:val="22"/>
          <w:szCs w:val="22"/>
        </w:rPr>
        <w:t xml:space="preserve">oil and oily mixtures will be generated during the normal operations of all ships. These oily mixtures are </w:t>
      </w:r>
      <w:r w:rsidR="0065000F">
        <w:rPr>
          <w:sz w:val="22"/>
          <w:szCs w:val="22"/>
        </w:rPr>
        <w:t xml:space="preserve">stored in </w:t>
      </w:r>
      <w:r w:rsidR="005D68A0">
        <w:rPr>
          <w:sz w:val="22"/>
          <w:szCs w:val="22"/>
        </w:rPr>
        <w:t>tanks</w:t>
      </w:r>
      <w:r w:rsidR="00591F44">
        <w:rPr>
          <w:sz w:val="22"/>
          <w:szCs w:val="22"/>
        </w:rPr>
        <w:t>,</w:t>
      </w:r>
      <w:r w:rsidR="005D68A0">
        <w:rPr>
          <w:sz w:val="22"/>
          <w:szCs w:val="22"/>
        </w:rPr>
        <w:t xml:space="preserve"> specified in the ship’s IOPP certificate as required </w:t>
      </w:r>
      <w:r w:rsidR="00297A98">
        <w:rPr>
          <w:sz w:val="22"/>
          <w:szCs w:val="22"/>
        </w:rPr>
        <w:t>by MARPOL</w:t>
      </w:r>
      <w:r w:rsidR="005D68A0">
        <w:rPr>
          <w:sz w:val="22"/>
          <w:szCs w:val="22"/>
        </w:rPr>
        <w:t>.</w:t>
      </w:r>
      <w:r w:rsidR="00F66D8A">
        <w:rPr>
          <w:sz w:val="22"/>
          <w:szCs w:val="22"/>
        </w:rPr>
        <w:t xml:space="preserve"> </w:t>
      </w:r>
      <w:r w:rsidR="00655E2A">
        <w:rPr>
          <w:sz w:val="22"/>
          <w:szCs w:val="22"/>
        </w:rPr>
        <w:t xml:space="preserve">Therefore, </w:t>
      </w:r>
      <w:r w:rsidR="00512933">
        <w:rPr>
          <w:sz w:val="22"/>
          <w:szCs w:val="22"/>
        </w:rPr>
        <w:t xml:space="preserve">to reflect the decision of the Committee that adequate reception facilities are necessary to ensure that discharges of harmful substances are prohibited, the co-sponsors </w:t>
      </w:r>
      <w:r w:rsidR="00DC213E">
        <w:rPr>
          <w:sz w:val="22"/>
          <w:szCs w:val="22"/>
        </w:rPr>
        <w:t xml:space="preserve">propose that reception facilities should be </w:t>
      </w:r>
      <w:r w:rsidR="00E701DD">
        <w:rPr>
          <w:sz w:val="22"/>
          <w:szCs w:val="22"/>
        </w:rPr>
        <w:t xml:space="preserve">provided in support of international shipping </w:t>
      </w:r>
      <w:r w:rsidR="00C85B29">
        <w:rPr>
          <w:sz w:val="22"/>
          <w:szCs w:val="22"/>
        </w:rPr>
        <w:t xml:space="preserve">operating </w:t>
      </w:r>
      <w:proofErr w:type="gramStart"/>
      <w:r w:rsidR="00C85B29">
        <w:rPr>
          <w:sz w:val="22"/>
          <w:szCs w:val="22"/>
        </w:rPr>
        <w:t xml:space="preserve">in </w:t>
      </w:r>
      <w:r w:rsidR="00EE6B9B">
        <w:rPr>
          <w:sz w:val="22"/>
          <w:szCs w:val="22"/>
        </w:rPr>
        <w:t xml:space="preserve"> </w:t>
      </w:r>
      <w:r w:rsidR="00DC213E">
        <w:rPr>
          <w:sz w:val="22"/>
          <w:szCs w:val="22"/>
        </w:rPr>
        <w:t>the</w:t>
      </w:r>
      <w:proofErr w:type="gramEnd"/>
      <w:r w:rsidR="00DC213E">
        <w:rPr>
          <w:sz w:val="22"/>
          <w:szCs w:val="22"/>
        </w:rPr>
        <w:t xml:space="preserve"> Arctic</w:t>
      </w:r>
      <w:r w:rsidR="00C85B29">
        <w:rPr>
          <w:sz w:val="22"/>
          <w:szCs w:val="22"/>
        </w:rPr>
        <w:t xml:space="preserve"> region</w:t>
      </w:r>
      <w:r w:rsidR="00DC213E">
        <w:rPr>
          <w:sz w:val="22"/>
          <w:szCs w:val="22"/>
        </w:rPr>
        <w:t>.</w:t>
      </w:r>
      <w:r w:rsidR="00D66219" w:rsidDel="00D66219">
        <w:rPr>
          <w:sz w:val="22"/>
          <w:szCs w:val="22"/>
        </w:rPr>
        <w:t xml:space="preserve"> </w:t>
      </w:r>
    </w:p>
    <w:p w:rsidR="00D66219" w:rsidRDefault="00D66219" w:rsidP="00DE5619">
      <w:pPr>
        <w:pStyle w:val="Default"/>
        <w:jc w:val="both"/>
        <w:rPr>
          <w:sz w:val="22"/>
          <w:szCs w:val="22"/>
        </w:rPr>
      </w:pPr>
    </w:p>
    <w:p w:rsidR="00512933" w:rsidRDefault="008108FF" w:rsidP="00DE5619">
      <w:pPr>
        <w:pStyle w:val="Default"/>
        <w:jc w:val="both"/>
        <w:rPr>
          <w:sz w:val="22"/>
          <w:szCs w:val="22"/>
        </w:rPr>
      </w:pPr>
      <w:r>
        <w:rPr>
          <w:sz w:val="22"/>
          <w:szCs w:val="22"/>
        </w:rPr>
        <w:t>6</w:t>
      </w:r>
      <w:r w:rsidR="00DC213E">
        <w:rPr>
          <w:sz w:val="22"/>
          <w:szCs w:val="22"/>
        </w:rPr>
        <w:tab/>
        <w:t xml:space="preserve">The level of the provision of reception facilities for the Antarctic </w:t>
      </w:r>
      <w:r w:rsidR="006E6675">
        <w:rPr>
          <w:sz w:val="22"/>
          <w:szCs w:val="22"/>
        </w:rPr>
        <w:t>has</w:t>
      </w:r>
      <w:r w:rsidR="00DC213E">
        <w:rPr>
          <w:sz w:val="22"/>
          <w:szCs w:val="22"/>
        </w:rPr>
        <w:t xml:space="preserve"> been developed </w:t>
      </w:r>
      <w:r w:rsidR="006E6675">
        <w:rPr>
          <w:sz w:val="22"/>
          <w:szCs w:val="22"/>
        </w:rPr>
        <w:t>over time to ensure that proper</w:t>
      </w:r>
      <w:r w:rsidR="00DC213E">
        <w:rPr>
          <w:sz w:val="22"/>
          <w:szCs w:val="22"/>
        </w:rPr>
        <w:t xml:space="preserve"> protection is available for that area.</w:t>
      </w:r>
      <w:r w:rsidR="006E6675">
        <w:rPr>
          <w:sz w:val="22"/>
          <w:szCs w:val="22"/>
        </w:rPr>
        <w:t xml:space="preserve"> These were developed to ensure that the environment of that area is afforded the very best level of protection.</w:t>
      </w:r>
      <w:r w:rsidR="00DC213E">
        <w:rPr>
          <w:sz w:val="22"/>
          <w:szCs w:val="22"/>
        </w:rPr>
        <w:t xml:space="preserve"> </w:t>
      </w:r>
      <w:r w:rsidR="006E6675">
        <w:rPr>
          <w:sz w:val="22"/>
          <w:szCs w:val="22"/>
        </w:rPr>
        <w:t xml:space="preserve">Taking into account the similarities in the environmental conditions between the Arctic and Antarctic waters </w:t>
      </w:r>
      <w:r w:rsidR="003959C4">
        <w:rPr>
          <w:sz w:val="22"/>
          <w:szCs w:val="22"/>
        </w:rPr>
        <w:t xml:space="preserve">as recognised in the draft preamble to the Code, </w:t>
      </w:r>
      <w:r w:rsidR="006E6675">
        <w:rPr>
          <w:sz w:val="22"/>
          <w:szCs w:val="22"/>
        </w:rPr>
        <w:t>the co-sponsors propose that</w:t>
      </w:r>
      <w:r w:rsidR="00512933">
        <w:rPr>
          <w:sz w:val="22"/>
          <w:szCs w:val="22"/>
        </w:rPr>
        <w:t xml:space="preserve"> the same provisions for reception </w:t>
      </w:r>
      <w:r w:rsidR="006E6675">
        <w:rPr>
          <w:sz w:val="22"/>
          <w:szCs w:val="22"/>
        </w:rPr>
        <w:t xml:space="preserve">facilities applicable to the Antarctic, </w:t>
      </w:r>
      <w:r w:rsidR="00512933">
        <w:rPr>
          <w:sz w:val="22"/>
          <w:szCs w:val="22"/>
        </w:rPr>
        <w:t>should apply to the Arctic</w:t>
      </w:r>
      <w:r w:rsidR="006E6675">
        <w:rPr>
          <w:sz w:val="22"/>
          <w:szCs w:val="22"/>
        </w:rPr>
        <w:t xml:space="preserve"> waters.</w:t>
      </w:r>
      <w:r w:rsidR="00EE6B9B">
        <w:rPr>
          <w:sz w:val="22"/>
          <w:szCs w:val="22"/>
        </w:rPr>
        <w:t xml:space="preserve"> </w:t>
      </w:r>
    </w:p>
    <w:p w:rsidR="00D66219" w:rsidRDefault="00D66219" w:rsidP="00DE5619">
      <w:pPr>
        <w:pStyle w:val="Default"/>
        <w:jc w:val="both"/>
        <w:rPr>
          <w:sz w:val="22"/>
          <w:szCs w:val="22"/>
        </w:rPr>
      </w:pPr>
    </w:p>
    <w:p w:rsidR="00D66219" w:rsidRDefault="008108FF" w:rsidP="00D66219">
      <w:pPr>
        <w:pStyle w:val="Default"/>
        <w:jc w:val="both"/>
        <w:rPr>
          <w:sz w:val="22"/>
          <w:szCs w:val="22"/>
        </w:rPr>
      </w:pPr>
      <w:r>
        <w:rPr>
          <w:sz w:val="22"/>
          <w:szCs w:val="22"/>
        </w:rPr>
        <w:t>7</w:t>
      </w:r>
      <w:r w:rsidR="00D66219">
        <w:rPr>
          <w:sz w:val="22"/>
          <w:szCs w:val="22"/>
        </w:rPr>
        <w:tab/>
      </w:r>
      <w:r w:rsidR="002B0B45">
        <w:rPr>
          <w:sz w:val="22"/>
          <w:szCs w:val="22"/>
        </w:rPr>
        <w:t xml:space="preserve">The co-sponsors recognise that ships can operate for short periods of time without the need for adequate reception facilities and as reception </w:t>
      </w:r>
      <w:r w:rsidR="00702ADA">
        <w:rPr>
          <w:sz w:val="22"/>
          <w:szCs w:val="22"/>
        </w:rPr>
        <w:t>facilities</w:t>
      </w:r>
      <w:r w:rsidR="002B0B45">
        <w:rPr>
          <w:sz w:val="22"/>
          <w:szCs w:val="22"/>
        </w:rPr>
        <w:t xml:space="preserve"> do exist just outside the Arctic Polar Region, a lack of reception facilities withi</w:t>
      </w:r>
      <w:r w:rsidR="00722F69">
        <w:rPr>
          <w:sz w:val="22"/>
          <w:szCs w:val="22"/>
        </w:rPr>
        <w:t>n the Arctic Polar region will</w:t>
      </w:r>
      <w:r w:rsidR="002B0B45">
        <w:rPr>
          <w:sz w:val="22"/>
          <w:szCs w:val="22"/>
        </w:rPr>
        <w:t xml:space="preserve"> not prevent ships from operating safely within this area.</w:t>
      </w:r>
      <w:r w:rsidR="00D66219">
        <w:rPr>
          <w:sz w:val="22"/>
          <w:szCs w:val="22"/>
        </w:rPr>
        <w:t xml:space="preserve"> </w:t>
      </w:r>
      <w:r w:rsidR="002B0B45">
        <w:rPr>
          <w:sz w:val="22"/>
          <w:szCs w:val="22"/>
        </w:rPr>
        <w:t>Nevertheless, the co-sponsors are of the opinion that taking into account th</w:t>
      </w:r>
      <w:r w:rsidR="00C85B29">
        <w:rPr>
          <w:sz w:val="22"/>
          <w:szCs w:val="22"/>
        </w:rPr>
        <w:t>e</w:t>
      </w:r>
      <w:r w:rsidR="002B0B45">
        <w:rPr>
          <w:sz w:val="22"/>
          <w:szCs w:val="22"/>
        </w:rPr>
        <w:t xml:space="preserve"> Organi</w:t>
      </w:r>
      <w:r w:rsidR="00C85B29">
        <w:rPr>
          <w:sz w:val="22"/>
          <w:szCs w:val="22"/>
        </w:rPr>
        <w:t>z</w:t>
      </w:r>
      <w:r w:rsidR="002B0B45">
        <w:rPr>
          <w:sz w:val="22"/>
          <w:szCs w:val="22"/>
        </w:rPr>
        <w:t>ation’s stance on the provision of “adequate” reception facilities as with the</w:t>
      </w:r>
      <w:r w:rsidR="00722F69">
        <w:rPr>
          <w:sz w:val="22"/>
          <w:szCs w:val="22"/>
        </w:rPr>
        <w:t xml:space="preserve"> requirements for the Antarctic region</w:t>
      </w:r>
      <w:r w:rsidR="002B0B45">
        <w:rPr>
          <w:sz w:val="22"/>
          <w:szCs w:val="22"/>
        </w:rPr>
        <w:t xml:space="preserve">, </w:t>
      </w:r>
      <w:r w:rsidR="00722F69">
        <w:rPr>
          <w:sz w:val="22"/>
          <w:szCs w:val="22"/>
        </w:rPr>
        <w:t>“</w:t>
      </w:r>
      <w:r w:rsidR="002B0B45">
        <w:rPr>
          <w:sz w:val="22"/>
          <w:szCs w:val="22"/>
        </w:rPr>
        <w:t>adequate</w:t>
      </w:r>
      <w:r w:rsidR="00722F69">
        <w:rPr>
          <w:sz w:val="22"/>
          <w:szCs w:val="22"/>
        </w:rPr>
        <w:t>”</w:t>
      </w:r>
      <w:r w:rsidR="002B0B45">
        <w:rPr>
          <w:sz w:val="22"/>
          <w:szCs w:val="22"/>
        </w:rPr>
        <w:t xml:space="preserve"> reception facilities should be provided</w:t>
      </w:r>
      <w:r w:rsidR="00722F69">
        <w:rPr>
          <w:sz w:val="22"/>
          <w:szCs w:val="22"/>
        </w:rPr>
        <w:t xml:space="preserve"> in the </w:t>
      </w:r>
      <w:r w:rsidR="00BF2E46">
        <w:rPr>
          <w:sz w:val="22"/>
          <w:szCs w:val="22"/>
        </w:rPr>
        <w:t>Arctic</w:t>
      </w:r>
      <w:r w:rsidR="00722F69">
        <w:rPr>
          <w:sz w:val="22"/>
          <w:szCs w:val="22"/>
        </w:rPr>
        <w:t xml:space="preserve"> region</w:t>
      </w:r>
      <w:r w:rsidR="002B0B45">
        <w:rPr>
          <w:sz w:val="22"/>
          <w:szCs w:val="22"/>
        </w:rPr>
        <w:t>.</w:t>
      </w:r>
      <w:r w:rsidR="00722F69">
        <w:rPr>
          <w:sz w:val="22"/>
          <w:szCs w:val="22"/>
        </w:rPr>
        <w:t xml:space="preserve"> The term “adequate” in this context should allow for appropriate scale and size of any reception facilities that may be provided.</w:t>
      </w:r>
      <w:r w:rsidR="00702ADA">
        <w:rPr>
          <w:sz w:val="22"/>
          <w:szCs w:val="22"/>
        </w:rPr>
        <w:t xml:space="preserve"> In addition, as development increases within the region, it makes sense to place a provision within the Code to ensure that it will be able to stand the test of time.</w:t>
      </w:r>
    </w:p>
    <w:p w:rsidR="00D66219" w:rsidRDefault="00D66219" w:rsidP="00D66219">
      <w:pPr>
        <w:pStyle w:val="Default"/>
        <w:jc w:val="both"/>
        <w:rPr>
          <w:sz w:val="22"/>
          <w:szCs w:val="22"/>
        </w:rPr>
      </w:pPr>
      <w:r>
        <w:rPr>
          <w:sz w:val="22"/>
          <w:szCs w:val="22"/>
        </w:rPr>
        <w:t xml:space="preserve">  </w:t>
      </w:r>
    </w:p>
    <w:p w:rsidR="00D66219" w:rsidRDefault="00D66219" w:rsidP="00DE5619">
      <w:pPr>
        <w:pStyle w:val="Default"/>
        <w:jc w:val="both"/>
        <w:rPr>
          <w:sz w:val="22"/>
          <w:szCs w:val="22"/>
        </w:rPr>
      </w:pPr>
    </w:p>
    <w:p w:rsidR="00512933" w:rsidRDefault="00512933" w:rsidP="00DE5619">
      <w:pPr>
        <w:pStyle w:val="Default"/>
        <w:jc w:val="both"/>
        <w:rPr>
          <w:sz w:val="22"/>
          <w:szCs w:val="22"/>
        </w:rPr>
      </w:pPr>
    </w:p>
    <w:p w:rsidR="00655E2A" w:rsidRDefault="006E6675" w:rsidP="00DE5619">
      <w:pPr>
        <w:pStyle w:val="Default"/>
        <w:jc w:val="both"/>
        <w:rPr>
          <w:sz w:val="22"/>
          <w:szCs w:val="22"/>
        </w:rPr>
      </w:pPr>
      <w:r>
        <w:rPr>
          <w:sz w:val="22"/>
          <w:szCs w:val="22"/>
        </w:rPr>
        <w:t>8</w:t>
      </w:r>
      <w:r>
        <w:rPr>
          <w:sz w:val="22"/>
          <w:szCs w:val="22"/>
        </w:rPr>
        <w:tab/>
        <w:t xml:space="preserve">The co-sponsors </w:t>
      </w:r>
      <w:r w:rsidR="00EE6B9B">
        <w:rPr>
          <w:sz w:val="22"/>
          <w:szCs w:val="22"/>
        </w:rPr>
        <w:t xml:space="preserve">have therefore, developed regulatory text </w:t>
      </w:r>
      <w:r w:rsidR="00327E4C">
        <w:rPr>
          <w:sz w:val="22"/>
          <w:szCs w:val="22"/>
        </w:rPr>
        <w:t>which builds</w:t>
      </w:r>
      <w:r w:rsidR="00A831A9">
        <w:rPr>
          <w:sz w:val="22"/>
          <w:szCs w:val="22"/>
        </w:rPr>
        <w:t xml:space="preserve"> on the Committee’s opinion </w:t>
      </w:r>
      <w:r w:rsidR="00E701DD">
        <w:rPr>
          <w:sz w:val="22"/>
          <w:szCs w:val="22"/>
        </w:rPr>
        <w:t xml:space="preserve">and provides support for the international shipping industry. </w:t>
      </w:r>
    </w:p>
    <w:p w:rsidR="00655E2A" w:rsidRDefault="00655E2A" w:rsidP="00DE5619">
      <w:pPr>
        <w:pStyle w:val="Default"/>
        <w:jc w:val="both"/>
        <w:rPr>
          <w:sz w:val="22"/>
          <w:szCs w:val="22"/>
        </w:rPr>
      </w:pPr>
    </w:p>
    <w:p w:rsidR="00C52A6E" w:rsidRPr="006E6675" w:rsidRDefault="006E6675" w:rsidP="00DE5619">
      <w:pPr>
        <w:rPr>
          <w:rFonts w:ascii="Arial" w:eastAsia="Arial Unicode MS" w:hAnsi="Arial" w:cs="Arial"/>
          <w:b/>
          <w:bCs/>
          <w:sz w:val="22"/>
          <w:szCs w:val="22"/>
        </w:rPr>
      </w:pPr>
      <w:r w:rsidRPr="006E6675">
        <w:rPr>
          <w:rFonts w:ascii="Arial" w:eastAsia="Arial Unicode MS" w:hAnsi="Arial" w:cs="Arial"/>
          <w:b/>
          <w:bCs/>
          <w:sz w:val="22"/>
          <w:szCs w:val="22"/>
        </w:rPr>
        <w:t>Action requested of the Sub-Committee</w:t>
      </w:r>
    </w:p>
    <w:p w:rsidR="009D60EA" w:rsidRPr="00C35748" w:rsidRDefault="009D60EA" w:rsidP="00DE5619">
      <w:pPr>
        <w:pStyle w:val="Body1"/>
        <w:rPr>
          <w:rFonts w:ascii="Arial" w:eastAsia="Arial Unicode MS" w:hAnsi="Arial" w:cs="Arial"/>
          <w:color w:val="auto"/>
          <w:sz w:val="22"/>
          <w:szCs w:val="22"/>
          <w:lang w:val="en-GB"/>
        </w:rPr>
      </w:pPr>
    </w:p>
    <w:p w:rsidR="009D60EA" w:rsidRDefault="00CF1941" w:rsidP="00DE5619">
      <w:pPr>
        <w:rPr>
          <w:rFonts w:ascii="Arial" w:eastAsia="Arial Unicode MS" w:hAnsi="Arial" w:cs="Arial"/>
          <w:sz w:val="22"/>
          <w:szCs w:val="22"/>
        </w:rPr>
      </w:pPr>
      <w:r w:rsidRPr="00C35748">
        <w:rPr>
          <w:rFonts w:ascii="Arial" w:eastAsia="Arial Unicode MS" w:hAnsi="Arial" w:cs="Arial"/>
          <w:sz w:val="22"/>
          <w:szCs w:val="22"/>
        </w:rPr>
        <w:t>9</w:t>
      </w:r>
      <w:r w:rsidR="009D60EA" w:rsidRPr="00C35748">
        <w:rPr>
          <w:rFonts w:ascii="Arial" w:eastAsia="Arial Unicode MS" w:hAnsi="Arial" w:cs="Arial"/>
          <w:sz w:val="22"/>
          <w:szCs w:val="22"/>
        </w:rPr>
        <w:tab/>
      </w:r>
      <w:r w:rsidR="00A831A9">
        <w:rPr>
          <w:rFonts w:ascii="Arial" w:eastAsia="Arial Unicode MS" w:hAnsi="Arial" w:cs="Arial"/>
          <w:sz w:val="22"/>
          <w:szCs w:val="22"/>
        </w:rPr>
        <w:t xml:space="preserve">The sub-committee is invited to consider the regulatory text contained within the annex </w:t>
      </w:r>
      <w:r w:rsidR="009D60EA" w:rsidRPr="00C35748">
        <w:rPr>
          <w:rFonts w:ascii="Arial" w:eastAsia="Arial Unicode MS" w:hAnsi="Arial" w:cs="Arial"/>
          <w:sz w:val="22"/>
          <w:szCs w:val="22"/>
        </w:rPr>
        <w:t>and to take action as appropriate.</w:t>
      </w:r>
    </w:p>
    <w:p w:rsidR="00D6156E" w:rsidRDefault="00D6156E" w:rsidP="00DE5619">
      <w:pPr>
        <w:rPr>
          <w:rFonts w:ascii="Arial" w:eastAsia="Arial Unicode MS" w:hAnsi="Arial" w:cs="Arial"/>
          <w:sz w:val="22"/>
          <w:szCs w:val="22"/>
        </w:rPr>
      </w:pPr>
    </w:p>
    <w:p w:rsidR="00D6156E" w:rsidRPr="00C35748" w:rsidRDefault="00D6156E" w:rsidP="00DE5619">
      <w:pPr>
        <w:rPr>
          <w:rFonts w:ascii="Arial" w:eastAsia="Arial Unicode MS" w:hAnsi="Arial" w:cs="Arial"/>
          <w:sz w:val="22"/>
          <w:szCs w:val="22"/>
        </w:rPr>
      </w:pPr>
    </w:p>
    <w:p w:rsidR="009D60EA" w:rsidRPr="00C35748" w:rsidRDefault="009D60EA" w:rsidP="00DE5619">
      <w:pPr>
        <w:rPr>
          <w:rFonts w:ascii="Arial" w:eastAsia="Arial Unicode MS" w:hAnsi="Arial" w:cs="Arial"/>
          <w:sz w:val="22"/>
          <w:szCs w:val="22"/>
        </w:rPr>
      </w:pPr>
    </w:p>
    <w:p w:rsidR="00A9328C" w:rsidRPr="00C35748" w:rsidRDefault="00A9328C" w:rsidP="00EE6B9B">
      <w:pPr>
        <w:jc w:val="center"/>
        <w:rPr>
          <w:rFonts w:ascii="Arial" w:eastAsia="Arial Unicode MS" w:hAnsi="Arial" w:cs="Arial"/>
        </w:rPr>
      </w:pPr>
      <w:r w:rsidRPr="00C35748">
        <w:rPr>
          <w:rFonts w:ascii="Arial" w:eastAsia="Arial Unicode MS" w:hAnsi="Arial" w:cs="Arial"/>
          <w:sz w:val="22"/>
          <w:szCs w:val="22"/>
        </w:rPr>
        <w:t>***</w:t>
      </w:r>
    </w:p>
    <w:p w:rsidR="001E6407" w:rsidRPr="00C35748" w:rsidRDefault="00EF5E3D" w:rsidP="00EE6B9B">
      <w:pPr>
        <w:jc w:val="center"/>
        <w:rPr>
          <w:rFonts w:ascii="Arial" w:eastAsia="Arial Unicode MS" w:hAnsi="Arial" w:cs="Arial"/>
          <w:sz w:val="22"/>
          <w:szCs w:val="22"/>
        </w:rPr>
      </w:pPr>
      <w:r w:rsidRPr="00C35748">
        <w:rPr>
          <w:rFonts w:ascii="Arial" w:eastAsia="Arial Unicode MS" w:hAnsi="Arial" w:cs="Arial"/>
          <w:sz w:val="22"/>
          <w:szCs w:val="22"/>
        </w:rPr>
        <w:br w:type="page"/>
      </w:r>
      <w:r w:rsidRPr="00C35748">
        <w:rPr>
          <w:rFonts w:ascii="Arial" w:eastAsia="Arial Unicode MS" w:hAnsi="Arial" w:cs="Arial"/>
          <w:sz w:val="22"/>
          <w:szCs w:val="22"/>
        </w:rPr>
        <w:lastRenderedPageBreak/>
        <w:t>Annex</w:t>
      </w:r>
    </w:p>
    <w:p w:rsidR="00EF5E3D" w:rsidRPr="00C35748" w:rsidRDefault="00EF5E3D" w:rsidP="00DE5619">
      <w:pPr>
        <w:rPr>
          <w:rFonts w:ascii="Arial" w:eastAsia="Arial Unicode MS" w:hAnsi="Arial" w:cs="Arial"/>
          <w:sz w:val="22"/>
          <w:szCs w:val="22"/>
        </w:rPr>
      </w:pPr>
    </w:p>
    <w:p w:rsidR="00EF5E3D" w:rsidRPr="00C35748" w:rsidRDefault="00EF5E3D" w:rsidP="00DE5619">
      <w:pPr>
        <w:rPr>
          <w:rFonts w:ascii="Arial" w:eastAsia="Arial Unicode MS" w:hAnsi="Arial" w:cs="Arial"/>
          <w:sz w:val="22"/>
          <w:szCs w:val="22"/>
        </w:rPr>
      </w:pPr>
    </w:p>
    <w:p w:rsidR="00EF5E3D" w:rsidRPr="00C35748" w:rsidRDefault="00EF5E3D" w:rsidP="00DE5619">
      <w:pPr>
        <w:rPr>
          <w:rFonts w:ascii="Arial" w:eastAsia="Arial Unicode MS" w:hAnsi="Arial" w:cs="Arial"/>
          <w:sz w:val="22"/>
          <w:szCs w:val="22"/>
        </w:rPr>
      </w:pPr>
      <w:r w:rsidRPr="00C35748">
        <w:rPr>
          <w:rFonts w:ascii="Arial" w:eastAsia="Arial Unicode MS" w:hAnsi="Arial" w:cs="Arial"/>
          <w:sz w:val="22"/>
          <w:szCs w:val="22"/>
        </w:rPr>
        <w:t>New section</w:t>
      </w:r>
      <w:r w:rsidR="00A73BF9" w:rsidRPr="00C35748">
        <w:rPr>
          <w:rFonts w:ascii="Arial" w:eastAsia="Arial Unicode MS" w:hAnsi="Arial" w:cs="Arial"/>
          <w:sz w:val="22"/>
          <w:szCs w:val="22"/>
        </w:rPr>
        <w:t>s</w:t>
      </w:r>
      <w:r w:rsidRPr="00C35748">
        <w:rPr>
          <w:rFonts w:ascii="Arial" w:eastAsia="Arial Unicode MS" w:hAnsi="Arial" w:cs="Arial"/>
          <w:sz w:val="22"/>
          <w:szCs w:val="22"/>
        </w:rPr>
        <w:t xml:space="preserve"> </w:t>
      </w:r>
      <w:r w:rsidR="00A73BF9" w:rsidRPr="00C35748">
        <w:rPr>
          <w:rFonts w:ascii="Arial" w:eastAsia="Arial Unicode MS" w:hAnsi="Arial" w:cs="Arial"/>
          <w:sz w:val="22"/>
          <w:szCs w:val="22"/>
        </w:rPr>
        <w:t xml:space="preserve">to be inserted after </w:t>
      </w:r>
      <w:r w:rsidRPr="00C35748">
        <w:rPr>
          <w:rFonts w:ascii="Arial" w:eastAsia="Arial Unicode MS" w:hAnsi="Arial" w:cs="Arial"/>
          <w:sz w:val="22"/>
          <w:szCs w:val="22"/>
        </w:rPr>
        <w:t>15.</w:t>
      </w:r>
      <w:r w:rsidR="00A73BF9" w:rsidRPr="00C35748">
        <w:rPr>
          <w:rFonts w:ascii="Arial" w:eastAsia="Arial Unicode MS" w:hAnsi="Arial" w:cs="Arial"/>
          <w:sz w:val="22"/>
          <w:szCs w:val="22"/>
        </w:rPr>
        <w:t>3.2.1</w:t>
      </w:r>
    </w:p>
    <w:p w:rsidR="00EF5E3D" w:rsidRPr="00C35748" w:rsidRDefault="00EF5E3D" w:rsidP="00DE5619">
      <w:pPr>
        <w:rPr>
          <w:rFonts w:ascii="Arial" w:eastAsia="Arial Unicode MS" w:hAnsi="Arial" w:cs="Arial"/>
          <w:sz w:val="22"/>
          <w:szCs w:val="22"/>
        </w:rPr>
      </w:pPr>
    </w:p>
    <w:p w:rsidR="00EF5E3D" w:rsidRPr="00C35748" w:rsidRDefault="00555CA1" w:rsidP="00DE5619">
      <w:pPr>
        <w:rPr>
          <w:rFonts w:ascii="Arial" w:eastAsia="Arial Unicode MS" w:hAnsi="Arial" w:cs="Arial"/>
          <w:bCs/>
          <w:sz w:val="22"/>
          <w:szCs w:val="22"/>
        </w:rPr>
      </w:pPr>
      <w:r w:rsidRPr="00C35748">
        <w:rPr>
          <w:rFonts w:ascii="Arial" w:hAnsi="Arial" w:cs="Arial"/>
          <w:sz w:val="22"/>
          <w:szCs w:val="22"/>
        </w:rPr>
        <w:t>15.3.2.2</w:t>
      </w:r>
      <w:r w:rsidR="00EE6B9B">
        <w:rPr>
          <w:rFonts w:ascii="Arial" w:hAnsi="Arial" w:cs="Arial"/>
          <w:sz w:val="22"/>
          <w:szCs w:val="22"/>
        </w:rPr>
        <w:tab/>
      </w:r>
      <w:r w:rsidR="0021184F" w:rsidRPr="00C35748">
        <w:rPr>
          <w:rFonts w:ascii="Arial" w:eastAsia="Arial Unicode MS" w:hAnsi="Arial" w:cs="Arial"/>
          <w:bCs/>
          <w:sz w:val="22"/>
          <w:szCs w:val="22"/>
        </w:rPr>
        <w:t>A</w:t>
      </w:r>
      <w:r w:rsidR="00EF5E3D" w:rsidRPr="00C35748">
        <w:rPr>
          <w:rFonts w:ascii="Arial" w:eastAsia="Arial Unicode MS" w:hAnsi="Arial" w:cs="Arial"/>
          <w:bCs/>
          <w:sz w:val="22"/>
          <w:szCs w:val="22"/>
        </w:rPr>
        <w:t xml:space="preserve">ll ports within the </w:t>
      </w:r>
      <w:r w:rsidR="0021184F" w:rsidRPr="00C35748">
        <w:rPr>
          <w:rFonts w:ascii="Arial" w:eastAsia="Arial Unicode MS" w:hAnsi="Arial" w:cs="Arial"/>
          <w:bCs/>
          <w:sz w:val="22"/>
          <w:szCs w:val="22"/>
        </w:rPr>
        <w:t>Arctic</w:t>
      </w:r>
      <w:r w:rsidR="00EF5E3D" w:rsidRPr="00C35748">
        <w:rPr>
          <w:rFonts w:ascii="Arial" w:eastAsia="Arial Unicode MS" w:hAnsi="Arial" w:cs="Arial"/>
          <w:bCs/>
          <w:sz w:val="22"/>
          <w:szCs w:val="22"/>
        </w:rPr>
        <w:t xml:space="preserve"> area shall be provided with adequate reception facilities for </w:t>
      </w:r>
      <w:r w:rsidR="0021184F" w:rsidRPr="00C35748">
        <w:rPr>
          <w:rFonts w:ascii="Arial" w:eastAsia="Arial Unicode MS" w:hAnsi="Arial" w:cs="Arial"/>
          <w:bCs/>
          <w:sz w:val="22"/>
          <w:szCs w:val="22"/>
        </w:rPr>
        <w:t>o</w:t>
      </w:r>
      <w:r w:rsidR="007B0A42">
        <w:rPr>
          <w:rFonts w:ascii="Arial" w:eastAsia="Arial Unicode MS" w:hAnsi="Arial" w:cs="Arial"/>
          <w:bCs/>
          <w:sz w:val="22"/>
          <w:szCs w:val="22"/>
        </w:rPr>
        <w:t>il and</w:t>
      </w:r>
      <w:r w:rsidR="00EF5E3D" w:rsidRPr="00C35748">
        <w:rPr>
          <w:rFonts w:ascii="Arial" w:eastAsia="Arial Unicode MS" w:hAnsi="Arial" w:cs="Arial"/>
          <w:bCs/>
          <w:sz w:val="22"/>
          <w:szCs w:val="22"/>
        </w:rPr>
        <w:t xml:space="preserve"> oily mixtures</w:t>
      </w:r>
      <w:r w:rsidRPr="00C35748">
        <w:rPr>
          <w:rFonts w:ascii="Arial" w:eastAsia="Arial Unicode MS" w:hAnsi="Arial" w:cs="Arial"/>
          <w:bCs/>
          <w:sz w:val="22"/>
          <w:szCs w:val="22"/>
        </w:rPr>
        <w:t xml:space="preserve"> </w:t>
      </w:r>
      <w:r w:rsidR="00EF5E3D" w:rsidRPr="00C35748">
        <w:rPr>
          <w:rFonts w:ascii="Arial" w:eastAsia="Arial Unicode MS" w:hAnsi="Arial" w:cs="Arial"/>
          <w:bCs/>
          <w:sz w:val="22"/>
          <w:szCs w:val="22"/>
        </w:rPr>
        <w:t>from all ships. Such facilities shall have adequate capacity to meet the needs of the ships using them without causing undue delay.</w:t>
      </w:r>
    </w:p>
    <w:p w:rsidR="0021184F" w:rsidRPr="00C35748" w:rsidRDefault="0021184F" w:rsidP="00DE5619">
      <w:pPr>
        <w:rPr>
          <w:rFonts w:ascii="Arial" w:eastAsia="Arial Unicode MS" w:hAnsi="Arial" w:cs="Arial"/>
          <w:bCs/>
          <w:sz w:val="22"/>
          <w:szCs w:val="22"/>
        </w:rPr>
      </w:pPr>
    </w:p>
    <w:p w:rsidR="00EF5E3D" w:rsidRPr="00C35748" w:rsidRDefault="00555CA1" w:rsidP="00DE5619">
      <w:pPr>
        <w:rPr>
          <w:rFonts w:ascii="Arial" w:eastAsia="Arial Unicode MS" w:hAnsi="Arial" w:cs="Arial"/>
          <w:bCs/>
          <w:sz w:val="22"/>
          <w:szCs w:val="22"/>
        </w:rPr>
      </w:pPr>
      <w:r w:rsidRPr="00C35748">
        <w:rPr>
          <w:rFonts w:ascii="Arial" w:eastAsia="Arial Unicode MS" w:hAnsi="Arial" w:cs="Arial"/>
          <w:bCs/>
          <w:sz w:val="22"/>
          <w:szCs w:val="22"/>
        </w:rPr>
        <w:t>15.3.2.3</w:t>
      </w:r>
      <w:r w:rsidR="00EE6B9B">
        <w:rPr>
          <w:rFonts w:ascii="Arial" w:eastAsia="Arial Unicode MS" w:hAnsi="Arial" w:cs="Arial"/>
          <w:bCs/>
          <w:sz w:val="22"/>
          <w:szCs w:val="22"/>
        </w:rPr>
        <w:tab/>
      </w:r>
      <w:r w:rsidR="00EF5E3D" w:rsidRPr="00C35748">
        <w:rPr>
          <w:rFonts w:ascii="Arial" w:eastAsia="Arial Unicode MS" w:hAnsi="Arial" w:cs="Arial"/>
          <w:bCs/>
          <w:sz w:val="22"/>
          <w:szCs w:val="22"/>
        </w:rPr>
        <w:t>Each Party</w:t>
      </w:r>
      <w:r w:rsidR="00A73BF9" w:rsidRPr="00C35748">
        <w:rPr>
          <w:rFonts w:ascii="Arial" w:eastAsia="Arial Unicode MS" w:hAnsi="Arial" w:cs="Arial"/>
          <w:bCs/>
          <w:sz w:val="22"/>
          <w:szCs w:val="22"/>
        </w:rPr>
        <w:t xml:space="preserve"> to Annex I of the MARPOL Convention</w:t>
      </w:r>
      <w:r w:rsidR="00EF5E3D" w:rsidRPr="00C35748">
        <w:rPr>
          <w:rFonts w:ascii="Arial" w:eastAsia="Arial Unicode MS" w:hAnsi="Arial" w:cs="Arial"/>
          <w:bCs/>
          <w:sz w:val="22"/>
          <w:szCs w:val="22"/>
        </w:rPr>
        <w:t xml:space="preserve"> shall notify the Organization for transmission to the Parties concerned of all cases where the facilities provided under this regulation are alleged to be inadequate.</w:t>
      </w:r>
    </w:p>
    <w:p w:rsidR="00EF5E3D" w:rsidRPr="00C35748" w:rsidRDefault="00EF5E3D" w:rsidP="00DE5619">
      <w:pPr>
        <w:rPr>
          <w:rFonts w:ascii="Arial" w:eastAsia="Arial Unicode MS" w:hAnsi="Arial" w:cs="Arial"/>
          <w:sz w:val="22"/>
          <w:szCs w:val="22"/>
        </w:rPr>
      </w:pPr>
    </w:p>
    <w:sectPr w:rsidR="00EF5E3D" w:rsidRPr="00C35748" w:rsidSect="006F4FA2">
      <w:footerReference w:type="default" r:id="rId8"/>
      <w:pgSz w:w="11907" w:h="16839"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A8" w:rsidRDefault="00EF4CA8">
      <w:r>
        <w:separator/>
      </w:r>
    </w:p>
  </w:endnote>
  <w:endnote w:type="continuationSeparator" w:id="0">
    <w:p w:rsidR="00EF4CA8" w:rsidRDefault="00EF4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6A" w:rsidRDefault="00E27D47">
    <w:pPr>
      <w:pStyle w:val="Footer"/>
      <w:jc w:val="center"/>
    </w:pPr>
    <w:fldSimple w:instr=" PAGE   \* MERGEFORMAT ">
      <w:r w:rsidR="0067666B">
        <w:rPr>
          <w:noProof/>
        </w:rPr>
        <w:t>1</w:t>
      </w:r>
    </w:fldSimple>
  </w:p>
  <w:p w:rsidR="00D0736A" w:rsidRDefault="00D07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A8" w:rsidRDefault="00EF4CA8">
      <w:r>
        <w:separator/>
      </w:r>
    </w:p>
  </w:footnote>
  <w:footnote w:type="continuationSeparator" w:id="0">
    <w:p w:rsidR="00EF4CA8" w:rsidRDefault="00EF4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47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80"/>
        </w:tabs>
        <w:ind w:left="180" w:firstLine="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1">
      <w:start w:val="1"/>
      <w:numFmt w:val="bullet"/>
      <w:lvlText w:val="•"/>
      <w:lvlJc w:val="left"/>
      <w:pPr>
        <w:tabs>
          <w:tab w:val="num" w:pos="180"/>
        </w:tabs>
        <w:ind w:left="180" w:firstLine="36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2">
      <w:start w:val="1"/>
      <w:numFmt w:val="bullet"/>
      <w:lvlText w:val="•"/>
      <w:lvlJc w:val="left"/>
      <w:pPr>
        <w:tabs>
          <w:tab w:val="num" w:pos="180"/>
        </w:tabs>
        <w:ind w:left="180" w:firstLine="72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3">
      <w:start w:val="1"/>
      <w:numFmt w:val="bullet"/>
      <w:lvlText w:val="•"/>
      <w:lvlJc w:val="left"/>
      <w:pPr>
        <w:tabs>
          <w:tab w:val="num" w:pos="180"/>
        </w:tabs>
        <w:ind w:left="180" w:firstLine="108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4">
      <w:start w:val="1"/>
      <w:numFmt w:val="bullet"/>
      <w:lvlText w:val="•"/>
      <w:lvlJc w:val="left"/>
      <w:pPr>
        <w:tabs>
          <w:tab w:val="num" w:pos="180"/>
        </w:tabs>
        <w:ind w:left="180" w:firstLine="144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5">
      <w:start w:val="1"/>
      <w:numFmt w:val="bullet"/>
      <w:lvlText w:val="•"/>
      <w:lvlJc w:val="left"/>
      <w:pPr>
        <w:tabs>
          <w:tab w:val="num" w:pos="180"/>
        </w:tabs>
        <w:ind w:left="180" w:firstLine="180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6">
      <w:start w:val="1"/>
      <w:numFmt w:val="bullet"/>
      <w:lvlText w:val="•"/>
      <w:lvlJc w:val="left"/>
      <w:pPr>
        <w:tabs>
          <w:tab w:val="num" w:pos="180"/>
        </w:tabs>
        <w:ind w:left="180" w:firstLine="216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7">
      <w:start w:val="1"/>
      <w:numFmt w:val="bullet"/>
      <w:lvlText w:val="•"/>
      <w:lvlJc w:val="left"/>
      <w:pPr>
        <w:tabs>
          <w:tab w:val="num" w:pos="180"/>
        </w:tabs>
        <w:ind w:left="180" w:firstLine="252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lvl w:ilvl="8">
      <w:start w:val="1"/>
      <w:numFmt w:val="bullet"/>
      <w:lvlText w:val="•"/>
      <w:lvlJc w:val="left"/>
      <w:pPr>
        <w:tabs>
          <w:tab w:val="num" w:pos="180"/>
        </w:tabs>
        <w:ind w:left="180" w:firstLine="2880"/>
      </w:pPr>
      <w:rPr>
        <w:rFonts w:ascii="Helvetica" w:eastAsia="ヒラギノ角ゴ Pro W3" w:hAnsi="Helvetica" w:hint="default"/>
        <w:b w:val="0"/>
        <w:i w:val="0"/>
        <w:caps w:val="0"/>
        <w:smallCaps w:val="0"/>
        <w:strike w:val="0"/>
        <w:dstrike w:val="0"/>
        <w:outline w:val="0"/>
        <w:color w:val="000000"/>
        <w:kern w:val="0"/>
        <w:position w:val="-2"/>
        <w:sz w:val="24"/>
        <w:u w:val="none"/>
        <w:shd w:val="clear" w:color="auto" w:fill="auto"/>
        <w:vertAlign w:val="baseline"/>
        <w:lang w:val="en-US"/>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B73D9A"/>
    <w:multiLevelType w:val="hybridMultilevel"/>
    <w:tmpl w:val="F4923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85434C"/>
    <w:multiLevelType w:val="hybridMultilevel"/>
    <w:tmpl w:val="E0CCB52C"/>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6F0443"/>
    <w:multiLevelType w:val="hybridMultilevel"/>
    <w:tmpl w:val="79564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E52FA"/>
    <w:multiLevelType w:val="hybridMultilevel"/>
    <w:tmpl w:val="3312B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155B30"/>
    <w:multiLevelType w:val="hybridMultilevel"/>
    <w:tmpl w:val="336E4F4A"/>
    <w:lvl w:ilvl="0" w:tplc="04090001">
      <w:start w:val="1"/>
      <w:numFmt w:val="bullet"/>
      <w:pStyle w:val="Lis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DBF7842"/>
    <w:multiLevelType w:val="hybridMultilevel"/>
    <w:tmpl w:val="7AEAD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9457A2"/>
    <w:multiLevelType w:val="hybridMultilevel"/>
    <w:tmpl w:val="D7487808"/>
    <w:lvl w:ilvl="0" w:tplc="B61E0FA6">
      <w:start w:val="1"/>
      <w:numFmt w:val="decimal"/>
      <w:lvlText w:val="%1"/>
      <w:lvlJc w:val="left"/>
      <w:pPr>
        <w:ind w:left="1140" w:hanging="780"/>
      </w:pPr>
      <w:rPr>
        <w:rFonts w:ascii="Arial" w:eastAsia="Arial Unicode MS"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8F028A"/>
    <w:multiLevelType w:val="hybridMultilevel"/>
    <w:tmpl w:val="5226080A"/>
    <w:lvl w:ilvl="0" w:tplc="A34E6954">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5336B3"/>
    <w:multiLevelType w:val="hybridMultilevel"/>
    <w:tmpl w:val="5FA81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E735E9"/>
    <w:multiLevelType w:val="hybridMultilevel"/>
    <w:tmpl w:val="C9C88ED0"/>
    <w:lvl w:ilvl="0" w:tplc="04090001">
      <w:start w:val="1"/>
      <w:numFmt w:val="bullet"/>
      <w:pStyle w:val="Lis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1"/>
  </w:num>
  <w:num w:numId="4">
    <w:abstractNumId w:val="10"/>
  </w:num>
  <w:num w:numId="5">
    <w:abstractNumId w:val="1"/>
  </w:num>
  <w:num w:numId="6">
    <w:abstractNumId w:val="2"/>
  </w:num>
  <w:num w:numId="7">
    <w:abstractNumId w:val="6"/>
  </w:num>
  <w:num w:numId="8">
    <w:abstractNumId w:val="8"/>
  </w:num>
  <w:num w:numId="9">
    <w:abstractNumId w:val="9"/>
  </w:num>
  <w:num w:numId="10">
    <w:abstractNumId w:val="3"/>
  </w:num>
  <w:num w:numId="11">
    <w:abstractNumId w:val="4"/>
  </w:num>
  <w:num w:numId="12">
    <w:abstractNumId w:val="5"/>
  </w:num>
  <w:num w:numId="13">
    <w:abstractNumId w:val="14"/>
  </w:num>
  <w:num w:numId="14">
    <w:abstractNumId w:val="0"/>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 w:dllVersion="2" w:checkStyle="1"/>
  <w:proofState w:spelling="clean" w:grammar="clean"/>
  <w:stylePaneFormatFilter w:val="3F01"/>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5D2C7E"/>
    <w:rsid w:val="00002229"/>
    <w:rsid w:val="000030CF"/>
    <w:rsid w:val="000126EC"/>
    <w:rsid w:val="000331D6"/>
    <w:rsid w:val="000354B0"/>
    <w:rsid w:val="00043E38"/>
    <w:rsid w:val="00062983"/>
    <w:rsid w:val="00092A08"/>
    <w:rsid w:val="00096F21"/>
    <w:rsid w:val="00097665"/>
    <w:rsid w:val="00097DF2"/>
    <w:rsid w:val="000A5287"/>
    <w:rsid w:val="000B4953"/>
    <w:rsid w:val="000B688D"/>
    <w:rsid w:val="000C45FE"/>
    <w:rsid w:val="000D60D5"/>
    <w:rsid w:val="000E3BC2"/>
    <w:rsid w:val="000E4C10"/>
    <w:rsid w:val="000E5243"/>
    <w:rsid w:val="000F1B7F"/>
    <w:rsid w:val="00102E00"/>
    <w:rsid w:val="001077D7"/>
    <w:rsid w:val="00123776"/>
    <w:rsid w:val="0013245F"/>
    <w:rsid w:val="00134C49"/>
    <w:rsid w:val="00136766"/>
    <w:rsid w:val="00140112"/>
    <w:rsid w:val="00167046"/>
    <w:rsid w:val="0016788D"/>
    <w:rsid w:val="00192B1A"/>
    <w:rsid w:val="00192F0A"/>
    <w:rsid w:val="001C0D91"/>
    <w:rsid w:val="001C2ED5"/>
    <w:rsid w:val="001D078B"/>
    <w:rsid w:val="001D314E"/>
    <w:rsid w:val="001E6407"/>
    <w:rsid w:val="001F126E"/>
    <w:rsid w:val="001F77C3"/>
    <w:rsid w:val="002057E1"/>
    <w:rsid w:val="0021184F"/>
    <w:rsid w:val="00240D01"/>
    <w:rsid w:val="00246230"/>
    <w:rsid w:val="00247ABD"/>
    <w:rsid w:val="002505F3"/>
    <w:rsid w:val="00256D78"/>
    <w:rsid w:val="00282EA3"/>
    <w:rsid w:val="00297A98"/>
    <w:rsid w:val="00297DD2"/>
    <w:rsid w:val="002B021F"/>
    <w:rsid w:val="002B0B45"/>
    <w:rsid w:val="002B75C9"/>
    <w:rsid w:val="002C0D86"/>
    <w:rsid w:val="002C4261"/>
    <w:rsid w:val="00314319"/>
    <w:rsid w:val="00320CF6"/>
    <w:rsid w:val="00327E4C"/>
    <w:rsid w:val="0033571F"/>
    <w:rsid w:val="00353B03"/>
    <w:rsid w:val="0037278F"/>
    <w:rsid w:val="003959C4"/>
    <w:rsid w:val="003A4454"/>
    <w:rsid w:val="003B17FA"/>
    <w:rsid w:val="003D5599"/>
    <w:rsid w:val="00400B28"/>
    <w:rsid w:val="004062A9"/>
    <w:rsid w:val="00413C08"/>
    <w:rsid w:val="00431CEC"/>
    <w:rsid w:val="00433850"/>
    <w:rsid w:val="00443F24"/>
    <w:rsid w:val="004450AF"/>
    <w:rsid w:val="00445BD6"/>
    <w:rsid w:val="00450A36"/>
    <w:rsid w:val="00475D21"/>
    <w:rsid w:val="004871C2"/>
    <w:rsid w:val="004D6C11"/>
    <w:rsid w:val="004E2755"/>
    <w:rsid w:val="004E7039"/>
    <w:rsid w:val="004F330B"/>
    <w:rsid w:val="004F41A1"/>
    <w:rsid w:val="004F71A8"/>
    <w:rsid w:val="00511604"/>
    <w:rsid w:val="00512933"/>
    <w:rsid w:val="00512FDF"/>
    <w:rsid w:val="005138BF"/>
    <w:rsid w:val="00520135"/>
    <w:rsid w:val="00520E2F"/>
    <w:rsid w:val="0052545B"/>
    <w:rsid w:val="00540F2D"/>
    <w:rsid w:val="00555CA1"/>
    <w:rsid w:val="0056527B"/>
    <w:rsid w:val="005729F4"/>
    <w:rsid w:val="00581377"/>
    <w:rsid w:val="00582765"/>
    <w:rsid w:val="00591F44"/>
    <w:rsid w:val="00597329"/>
    <w:rsid w:val="005A0CDA"/>
    <w:rsid w:val="005B6118"/>
    <w:rsid w:val="005C0EB1"/>
    <w:rsid w:val="005C5BB2"/>
    <w:rsid w:val="005D2A53"/>
    <w:rsid w:val="005D2C7E"/>
    <w:rsid w:val="005D68A0"/>
    <w:rsid w:val="005E299D"/>
    <w:rsid w:val="005E6E70"/>
    <w:rsid w:val="005F01D0"/>
    <w:rsid w:val="005F53EB"/>
    <w:rsid w:val="00614730"/>
    <w:rsid w:val="00617145"/>
    <w:rsid w:val="006331EF"/>
    <w:rsid w:val="00643E9D"/>
    <w:rsid w:val="006443F0"/>
    <w:rsid w:val="00646F60"/>
    <w:rsid w:val="0065000F"/>
    <w:rsid w:val="00655E2A"/>
    <w:rsid w:val="0067666B"/>
    <w:rsid w:val="00677C86"/>
    <w:rsid w:val="00692E17"/>
    <w:rsid w:val="006A4AF7"/>
    <w:rsid w:val="006B04C0"/>
    <w:rsid w:val="006D1030"/>
    <w:rsid w:val="006D1FA4"/>
    <w:rsid w:val="006D302E"/>
    <w:rsid w:val="006D3504"/>
    <w:rsid w:val="006D46FD"/>
    <w:rsid w:val="006D5BD7"/>
    <w:rsid w:val="006E2864"/>
    <w:rsid w:val="006E3FFC"/>
    <w:rsid w:val="006E6675"/>
    <w:rsid w:val="006E711A"/>
    <w:rsid w:val="006F4FA2"/>
    <w:rsid w:val="00702ADA"/>
    <w:rsid w:val="00705A32"/>
    <w:rsid w:val="00717B7E"/>
    <w:rsid w:val="00722577"/>
    <w:rsid w:val="00722F69"/>
    <w:rsid w:val="00723000"/>
    <w:rsid w:val="00725522"/>
    <w:rsid w:val="00730106"/>
    <w:rsid w:val="00732A4B"/>
    <w:rsid w:val="00737E58"/>
    <w:rsid w:val="00745F93"/>
    <w:rsid w:val="00752891"/>
    <w:rsid w:val="00755EE0"/>
    <w:rsid w:val="0076358A"/>
    <w:rsid w:val="00764ACE"/>
    <w:rsid w:val="0077622E"/>
    <w:rsid w:val="007B0A42"/>
    <w:rsid w:val="007B42D6"/>
    <w:rsid w:val="007C1957"/>
    <w:rsid w:val="007C71FC"/>
    <w:rsid w:val="007E2718"/>
    <w:rsid w:val="007E4528"/>
    <w:rsid w:val="007E7ACB"/>
    <w:rsid w:val="008108FF"/>
    <w:rsid w:val="00812F27"/>
    <w:rsid w:val="008173C6"/>
    <w:rsid w:val="00832EF1"/>
    <w:rsid w:val="00843AC5"/>
    <w:rsid w:val="00856F54"/>
    <w:rsid w:val="00857861"/>
    <w:rsid w:val="00867F93"/>
    <w:rsid w:val="00881D07"/>
    <w:rsid w:val="00882723"/>
    <w:rsid w:val="00893D00"/>
    <w:rsid w:val="008B0132"/>
    <w:rsid w:val="008C21FF"/>
    <w:rsid w:val="008C410A"/>
    <w:rsid w:val="008D1D57"/>
    <w:rsid w:val="008D66EE"/>
    <w:rsid w:val="008D7AA5"/>
    <w:rsid w:val="008E3541"/>
    <w:rsid w:val="008E7825"/>
    <w:rsid w:val="0090506F"/>
    <w:rsid w:val="00907A8B"/>
    <w:rsid w:val="00910144"/>
    <w:rsid w:val="00914F4A"/>
    <w:rsid w:val="009164B8"/>
    <w:rsid w:val="00916640"/>
    <w:rsid w:val="00922770"/>
    <w:rsid w:val="0092380B"/>
    <w:rsid w:val="00924AF1"/>
    <w:rsid w:val="0093478D"/>
    <w:rsid w:val="00940BB0"/>
    <w:rsid w:val="009457E0"/>
    <w:rsid w:val="00955034"/>
    <w:rsid w:val="00966D01"/>
    <w:rsid w:val="00970EDA"/>
    <w:rsid w:val="0097776B"/>
    <w:rsid w:val="00981D11"/>
    <w:rsid w:val="009A2CC0"/>
    <w:rsid w:val="009B0D5D"/>
    <w:rsid w:val="009B68E2"/>
    <w:rsid w:val="009C76EB"/>
    <w:rsid w:val="009D4820"/>
    <w:rsid w:val="009D60EA"/>
    <w:rsid w:val="009F2556"/>
    <w:rsid w:val="009F26BB"/>
    <w:rsid w:val="00A05157"/>
    <w:rsid w:val="00A10193"/>
    <w:rsid w:val="00A136B4"/>
    <w:rsid w:val="00A36489"/>
    <w:rsid w:val="00A57BE6"/>
    <w:rsid w:val="00A64CAA"/>
    <w:rsid w:val="00A73BF9"/>
    <w:rsid w:val="00A80850"/>
    <w:rsid w:val="00A831A9"/>
    <w:rsid w:val="00A835B1"/>
    <w:rsid w:val="00A84BF6"/>
    <w:rsid w:val="00A901D5"/>
    <w:rsid w:val="00A90E54"/>
    <w:rsid w:val="00A9243F"/>
    <w:rsid w:val="00A9328C"/>
    <w:rsid w:val="00A934B5"/>
    <w:rsid w:val="00A9455A"/>
    <w:rsid w:val="00A954F7"/>
    <w:rsid w:val="00AA470B"/>
    <w:rsid w:val="00AB48F2"/>
    <w:rsid w:val="00AC6B0E"/>
    <w:rsid w:val="00AD6C12"/>
    <w:rsid w:val="00AE437D"/>
    <w:rsid w:val="00B16B26"/>
    <w:rsid w:val="00B17738"/>
    <w:rsid w:val="00B369ED"/>
    <w:rsid w:val="00B9022B"/>
    <w:rsid w:val="00B971C2"/>
    <w:rsid w:val="00BA1487"/>
    <w:rsid w:val="00BA4C41"/>
    <w:rsid w:val="00BC15AE"/>
    <w:rsid w:val="00BE43D6"/>
    <w:rsid w:val="00BF2E46"/>
    <w:rsid w:val="00BF4BDA"/>
    <w:rsid w:val="00C10420"/>
    <w:rsid w:val="00C13C3E"/>
    <w:rsid w:val="00C26258"/>
    <w:rsid w:val="00C26700"/>
    <w:rsid w:val="00C3339B"/>
    <w:rsid w:val="00C35748"/>
    <w:rsid w:val="00C52A6E"/>
    <w:rsid w:val="00C60CAF"/>
    <w:rsid w:val="00C634AD"/>
    <w:rsid w:val="00C70843"/>
    <w:rsid w:val="00C760F5"/>
    <w:rsid w:val="00C85B29"/>
    <w:rsid w:val="00C94DFA"/>
    <w:rsid w:val="00CA474A"/>
    <w:rsid w:val="00CA6031"/>
    <w:rsid w:val="00CB56B5"/>
    <w:rsid w:val="00CB6534"/>
    <w:rsid w:val="00CC7D8D"/>
    <w:rsid w:val="00CE78A3"/>
    <w:rsid w:val="00CF1941"/>
    <w:rsid w:val="00D03649"/>
    <w:rsid w:val="00D0736A"/>
    <w:rsid w:val="00D12658"/>
    <w:rsid w:val="00D210CB"/>
    <w:rsid w:val="00D26B9B"/>
    <w:rsid w:val="00D3795A"/>
    <w:rsid w:val="00D50740"/>
    <w:rsid w:val="00D55431"/>
    <w:rsid w:val="00D5655C"/>
    <w:rsid w:val="00D6156E"/>
    <w:rsid w:val="00D63D56"/>
    <w:rsid w:val="00D65C99"/>
    <w:rsid w:val="00D66219"/>
    <w:rsid w:val="00D70AE9"/>
    <w:rsid w:val="00D770AB"/>
    <w:rsid w:val="00D93DE1"/>
    <w:rsid w:val="00DA7E93"/>
    <w:rsid w:val="00DC213E"/>
    <w:rsid w:val="00DC3A4A"/>
    <w:rsid w:val="00DE55FE"/>
    <w:rsid w:val="00DE5619"/>
    <w:rsid w:val="00DE5892"/>
    <w:rsid w:val="00E041D1"/>
    <w:rsid w:val="00E20096"/>
    <w:rsid w:val="00E27D47"/>
    <w:rsid w:val="00E4107E"/>
    <w:rsid w:val="00E472FE"/>
    <w:rsid w:val="00E5791E"/>
    <w:rsid w:val="00E62A35"/>
    <w:rsid w:val="00E64661"/>
    <w:rsid w:val="00E701DD"/>
    <w:rsid w:val="00E72E47"/>
    <w:rsid w:val="00E904FF"/>
    <w:rsid w:val="00EA3194"/>
    <w:rsid w:val="00EB28A5"/>
    <w:rsid w:val="00EB3180"/>
    <w:rsid w:val="00ED1F7C"/>
    <w:rsid w:val="00ED2432"/>
    <w:rsid w:val="00ED7B33"/>
    <w:rsid w:val="00EE6B9B"/>
    <w:rsid w:val="00EF1BC2"/>
    <w:rsid w:val="00EF4CA8"/>
    <w:rsid w:val="00EF5E3D"/>
    <w:rsid w:val="00F007B4"/>
    <w:rsid w:val="00F3730B"/>
    <w:rsid w:val="00F42AE4"/>
    <w:rsid w:val="00F444C1"/>
    <w:rsid w:val="00F66D8A"/>
    <w:rsid w:val="00F70C1F"/>
    <w:rsid w:val="00F94431"/>
    <w:rsid w:val="00FA7169"/>
    <w:rsid w:val="00FC7AA2"/>
    <w:rsid w:val="00FD04B3"/>
    <w:rsid w:val="00FD1DEE"/>
    <w:rsid w:val="00FD29BF"/>
    <w:rsid w:val="00FE1C15"/>
    <w:rsid w:val="00FE39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D2C7E"/>
    <w:pPr>
      <w:jc w:val="both"/>
    </w:pPr>
    <w:rPr>
      <w:sz w:val="24"/>
      <w:lang w:eastAsia="en-US"/>
    </w:rPr>
  </w:style>
  <w:style w:type="paragraph" w:styleId="Heading1">
    <w:name w:val="heading 1"/>
    <w:basedOn w:val="Normal"/>
    <w:next w:val="Normal"/>
    <w:link w:val="Heading1Char"/>
    <w:qFormat/>
    <w:rsid w:val="00A954F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EAF"/>
    <w:pPr>
      <w:tabs>
        <w:tab w:val="center" w:pos="4320"/>
        <w:tab w:val="right" w:pos="8640"/>
      </w:tabs>
    </w:pPr>
  </w:style>
  <w:style w:type="paragraph" w:styleId="Footer">
    <w:name w:val="footer"/>
    <w:basedOn w:val="Normal"/>
    <w:link w:val="FooterChar"/>
    <w:uiPriority w:val="99"/>
    <w:rsid w:val="00BF7EAF"/>
    <w:pPr>
      <w:tabs>
        <w:tab w:val="center" w:pos="4320"/>
        <w:tab w:val="right" w:pos="8640"/>
      </w:tabs>
    </w:pPr>
  </w:style>
  <w:style w:type="paragraph" w:styleId="BalloonText">
    <w:name w:val="Balloon Text"/>
    <w:basedOn w:val="Normal"/>
    <w:link w:val="BalloonTextChar"/>
    <w:rsid w:val="00BB12A7"/>
    <w:rPr>
      <w:rFonts w:ascii="Tahoma" w:hAnsi="Tahoma"/>
      <w:sz w:val="16"/>
      <w:szCs w:val="16"/>
    </w:rPr>
  </w:style>
  <w:style w:type="character" w:customStyle="1" w:styleId="BalloonTextChar">
    <w:name w:val="Balloon Text Char"/>
    <w:link w:val="BalloonText"/>
    <w:rsid w:val="00BB12A7"/>
    <w:rPr>
      <w:rFonts w:ascii="Tahoma" w:hAnsi="Tahoma" w:cs="Tahoma"/>
      <w:sz w:val="16"/>
      <w:szCs w:val="16"/>
      <w:lang w:eastAsia="en-US"/>
    </w:rPr>
  </w:style>
  <w:style w:type="table" w:styleId="TableGrid">
    <w:name w:val="Table Grid"/>
    <w:basedOn w:val="TableNormal"/>
    <w:rsid w:val="00F448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2609BA"/>
    <w:pPr>
      <w:jc w:val="both"/>
      <w:outlineLvl w:val="0"/>
    </w:pPr>
    <w:rPr>
      <w:rFonts w:eastAsia="ヒラギノ角ゴ Pro W3"/>
      <w:color w:val="000000"/>
      <w:sz w:val="24"/>
      <w:lang w:val="en-US"/>
    </w:rPr>
  </w:style>
  <w:style w:type="paragraph" w:customStyle="1" w:styleId="BodyBullet">
    <w:name w:val="Body Bullet"/>
    <w:rsid w:val="002609BA"/>
    <w:rPr>
      <w:rFonts w:ascii="Helvetica" w:eastAsia="ヒラギノ角ゴ Pro W3" w:hAnsi="Helvetica"/>
      <w:color w:val="000000"/>
      <w:sz w:val="24"/>
      <w:lang w:val="en-US"/>
    </w:rPr>
  </w:style>
  <w:style w:type="paragraph" w:customStyle="1" w:styleId="Bullet">
    <w:name w:val="Bullet"/>
    <w:rsid w:val="002609BA"/>
    <w:pPr>
      <w:numPr>
        <w:numId w:val="1"/>
      </w:numPr>
    </w:pPr>
  </w:style>
  <w:style w:type="paragraph" w:customStyle="1" w:styleId="List0">
    <w:name w:val="List 0"/>
    <w:basedOn w:val="Normal"/>
    <w:semiHidden/>
    <w:rsid w:val="007732F9"/>
    <w:pPr>
      <w:numPr>
        <w:numId w:val="2"/>
      </w:numPr>
      <w:jc w:val="left"/>
    </w:pPr>
    <w:rPr>
      <w:sz w:val="20"/>
      <w:lang w:eastAsia="en-GB"/>
    </w:rPr>
  </w:style>
  <w:style w:type="paragraph" w:customStyle="1" w:styleId="List1">
    <w:name w:val="List 1"/>
    <w:basedOn w:val="Normal"/>
    <w:semiHidden/>
    <w:rsid w:val="007732F9"/>
    <w:pPr>
      <w:numPr>
        <w:numId w:val="4"/>
      </w:numPr>
      <w:jc w:val="left"/>
    </w:pPr>
    <w:rPr>
      <w:sz w:val="20"/>
      <w:lang w:eastAsia="en-GB"/>
    </w:rPr>
  </w:style>
  <w:style w:type="paragraph" w:styleId="FootnoteText">
    <w:name w:val="footnote text"/>
    <w:aliases w:val="DNV-FT,DNV-FT Char Char,footnote text,Char1"/>
    <w:basedOn w:val="Normal"/>
    <w:link w:val="FootnoteTextChar"/>
    <w:rsid w:val="00861D07"/>
    <w:rPr>
      <w:sz w:val="20"/>
    </w:rPr>
  </w:style>
  <w:style w:type="character" w:styleId="FootnoteReference">
    <w:name w:val="footnote reference"/>
    <w:aliases w:val="Footnote Reference/"/>
    <w:rsid w:val="00861D07"/>
    <w:rPr>
      <w:vertAlign w:val="superscript"/>
    </w:rPr>
  </w:style>
  <w:style w:type="character" w:customStyle="1" w:styleId="Heading1Char">
    <w:name w:val="Heading 1 Char"/>
    <w:link w:val="Heading1"/>
    <w:rsid w:val="00A954F7"/>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6E2864"/>
    <w:rPr>
      <w:sz w:val="24"/>
      <w:lang w:eastAsia="en-US"/>
    </w:rPr>
  </w:style>
  <w:style w:type="paragraph" w:customStyle="1" w:styleId="MediumGrid21">
    <w:name w:val="Medium Grid 21"/>
    <w:uiPriority w:val="1"/>
    <w:qFormat/>
    <w:rsid w:val="009B68E2"/>
    <w:rPr>
      <w:rFonts w:ascii="Calibri" w:eastAsia="Calibri" w:hAnsi="Calibri"/>
      <w:sz w:val="22"/>
      <w:szCs w:val="22"/>
      <w:lang w:eastAsia="en-US"/>
    </w:rPr>
  </w:style>
  <w:style w:type="character" w:customStyle="1" w:styleId="FootnoteTextChar">
    <w:name w:val="Footnote Text Char"/>
    <w:aliases w:val="DNV-FT Char,DNV-FT Char Char Char,footnote text Char,Char1 Char"/>
    <w:link w:val="FootnoteText"/>
    <w:rsid w:val="001E6407"/>
    <w:rPr>
      <w:lang w:eastAsia="en-US"/>
    </w:rPr>
  </w:style>
  <w:style w:type="paragraph" w:customStyle="1" w:styleId="NoSpacing1">
    <w:name w:val="No Spacing1"/>
    <w:uiPriority w:val="1"/>
    <w:qFormat/>
    <w:rsid w:val="00CA6031"/>
    <w:rPr>
      <w:rFonts w:ascii="Calibri" w:eastAsia="Calibri" w:hAnsi="Calibri"/>
      <w:sz w:val="22"/>
      <w:szCs w:val="22"/>
      <w:lang w:eastAsia="en-US"/>
    </w:rPr>
  </w:style>
  <w:style w:type="paragraph" w:customStyle="1" w:styleId="Default">
    <w:name w:val="Default"/>
    <w:rsid w:val="0021184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5B29"/>
    <w:rPr>
      <w:sz w:val="16"/>
      <w:szCs w:val="16"/>
    </w:rPr>
  </w:style>
  <w:style w:type="paragraph" w:styleId="CommentText">
    <w:name w:val="annotation text"/>
    <w:basedOn w:val="Normal"/>
    <w:link w:val="CommentTextChar"/>
    <w:rsid w:val="00C85B29"/>
    <w:rPr>
      <w:sz w:val="20"/>
    </w:rPr>
  </w:style>
  <w:style w:type="character" w:customStyle="1" w:styleId="CommentTextChar">
    <w:name w:val="Comment Text Char"/>
    <w:basedOn w:val="DefaultParagraphFont"/>
    <w:link w:val="CommentText"/>
    <w:rsid w:val="00C85B29"/>
    <w:rPr>
      <w:lang w:eastAsia="en-US"/>
    </w:rPr>
  </w:style>
  <w:style w:type="paragraph" w:styleId="CommentSubject">
    <w:name w:val="annotation subject"/>
    <w:basedOn w:val="CommentText"/>
    <w:next w:val="CommentText"/>
    <w:link w:val="CommentSubjectChar"/>
    <w:rsid w:val="00C85B29"/>
    <w:rPr>
      <w:b/>
      <w:bCs/>
    </w:rPr>
  </w:style>
  <w:style w:type="character" w:customStyle="1" w:styleId="CommentSubjectChar">
    <w:name w:val="Comment Subject Char"/>
    <w:basedOn w:val="CommentTextChar"/>
    <w:link w:val="CommentSubject"/>
    <w:rsid w:val="00C85B29"/>
    <w:rPr>
      <w:b/>
      <w:bCs/>
    </w:rPr>
  </w:style>
</w:styles>
</file>

<file path=word/webSettings.xml><?xml version="1.0" encoding="utf-8"?>
<w:webSettings xmlns:r="http://schemas.openxmlformats.org/officeDocument/2006/relationships" xmlns:w="http://schemas.openxmlformats.org/wordprocessingml/2006/main">
  <w:divs>
    <w:div w:id="10382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A3532-C907-4834-9962-08490BF8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SUB-COMMITTEE ON FLAG STATE IMPLEMENTATION</vt:lpstr>
    </vt:vector>
  </TitlesOfParts>
  <Company>Hewlett-Packard Company</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ON FLAG STATE IMPLEMENTATION</dc:title>
  <dc:creator>pbelcher</dc:creator>
  <cp:lastModifiedBy>Phillip Belcher</cp:lastModifiedBy>
  <cp:revision>4</cp:revision>
  <cp:lastPrinted>2013-07-01T15:46:00Z</cp:lastPrinted>
  <dcterms:created xsi:type="dcterms:W3CDTF">2013-09-17T17:09:00Z</dcterms:created>
  <dcterms:modified xsi:type="dcterms:W3CDTF">2013-09-18T09:16:00Z</dcterms:modified>
</cp:coreProperties>
</file>