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thinThickMediumGap" w:sz="24" w:space="0" w:color="auto"/>
          <w:left w:val="thinThickMediumGap" w:sz="24" w:space="0" w:color="auto"/>
          <w:bottom w:val="thickThinMediumGap" w:sz="24" w:space="0" w:color="auto"/>
          <w:right w:val="thickThinMediumGap" w:sz="24" w:space="0" w:color="auto"/>
        </w:tblBorders>
        <w:tblLayout w:type="fixed"/>
        <w:tblLook w:val="04A0" w:firstRow="1" w:lastRow="0" w:firstColumn="1" w:lastColumn="0" w:noHBand="0" w:noVBand="1"/>
      </w:tblPr>
      <w:tblGrid>
        <w:gridCol w:w="9376"/>
      </w:tblGrid>
      <w:tr w:rsidR="002B5A5E" w:rsidTr="006C1AAB">
        <w:trPr>
          <w:trHeight w:val="790"/>
          <w:jc w:val="center"/>
        </w:trPr>
        <w:tc>
          <w:tcPr>
            <w:tcW w:w="9376" w:type="dxa"/>
            <w:shd w:val="clear" w:color="auto" w:fill="000000" w:themeFill="text1"/>
            <w:vAlign w:val="center"/>
          </w:tcPr>
          <w:p w:rsidR="002B5A5E" w:rsidRPr="00F63E24" w:rsidRDefault="00F63E24" w:rsidP="002B5A5E">
            <w:pPr>
              <w:jc w:val="center"/>
              <w:rPr>
                <w:b/>
                <w:color w:val="FFFFFF" w:themeColor="background1"/>
                <w:sz w:val="40"/>
                <w:szCs w:val="40"/>
              </w:rPr>
            </w:pPr>
            <w:r w:rsidRPr="00F63E24">
              <w:rPr>
                <w:b/>
                <w:color w:val="FFFFFF" w:themeColor="background1"/>
                <w:sz w:val="40"/>
                <w:szCs w:val="40"/>
              </w:rPr>
              <w:t>Maritime Intelligence Section</w:t>
            </w:r>
          </w:p>
        </w:tc>
      </w:tr>
      <w:tr w:rsidR="002B5A5E" w:rsidTr="006C1AAB">
        <w:trPr>
          <w:trHeight w:val="715"/>
          <w:jc w:val="center"/>
        </w:trPr>
        <w:tc>
          <w:tcPr>
            <w:tcW w:w="9376" w:type="dxa"/>
            <w:shd w:val="clear" w:color="auto" w:fill="D9D9D9" w:themeFill="background1" w:themeFillShade="D9"/>
            <w:vAlign w:val="center"/>
          </w:tcPr>
          <w:p w:rsidR="002D0F17" w:rsidRDefault="002D0F17">
            <w:r w:rsidRPr="002D0F17">
              <w:rPr>
                <w:b/>
              </w:rPr>
              <w:t>Date:</w:t>
            </w:r>
            <w:r>
              <w:rPr>
                <w:b/>
              </w:rPr>
              <w:t xml:space="preserve"> </w:t>
            </w:r>
            <w:r w:rsidR="002A42A6">
              <w:rPr>
                <w:b/>
              </w:rPr>
              <w:t>07/08/14</w:t>
            </w:r>
            <w:r>
              <w:rPr>
                <w:b/>
              </w:rPr>
              <w:t xml:space="preserve">                                                                                    </w:t>
            </w:r>
          </w:p>
          <w:p w:rsidR="002D0F17" w:rsidRPr="002D0F17" w:rsidRDefault="002D0F17" w:rsidP="000C7FD5">
            <w:pPr>
              <w:rPr>
                <w:b/>
              </w:rPr>
            </w:pPr>
            <w:r w:rsidRPr="002D0F17">
              <w:rPr>
                <w:b/>
              </w:rPr>
              <w:t>Source</w:t>
            </w:r>
            <w:r w:rsidR="000C7FD5">
              <w:rPr>
                <w:b/>
              </w:rPr>
              <w:t>:</w:t>
            </w:r>
            <w:r w:rsidR="00705097">
              <w:rPr>
                <w:b/>
              </w:rPr>
              <w:t xml:space="preserve"> Allmode</w:t>
            </w:r>
          </w:p>
        </w:tc>
      </w:tr>
      <w:tr w:rsidR="002B5A5E" w:rsidTr="000C7FD5">
        <w:trPr>
          <w:trHeight w:val="682"/>
          <w:jc w:val="center"/>
        </w:trPr>
        <w:tc>
          <w:tcPr>
            <w:tcW w:w="9376" w:type="dxa"/>
            <w:shd w:val="clear" w:color="auto" w:fill="F79646" w:themeFill="accent6"/>
            <w:vAlign w:val="center"/>
          </w:tcPr>
          <w:p w:rsidR="002B5A5E" w:rsidRPr="00F63E24" w:rsidRDefault="000C7FD5" w:rsidP="00F63E24">
            <w:pPr>
              <w:jc w:val="center"/>
              <w:rPr>
                <w:b/>
                <w:sz w:val="40"/>
                <w:szCs w:val="40"/>
              </w:rPr>
            </w:pPr>
            <w:r>
              <w:rPr>
                <w:b/>
                <w:color w:val="FFFFFF" w:themeColor="background1"/>
                <w:sz w:val="40"/>
                <w:szCs w:val="40"/>
              </w:rPr>
              <w:t>Advisory Notice</w:t>
            </w:r>
            <w:r w:rsidR="0057694D">
              <w:rPr>
                <w:b/>
                <w:color w:val="FFFFFF" w:themeColor="background1"/>
                <w:sz w:val="40"/>
                <w:szCs w:val="40"/>
              </w:rPr>
              <w:t>: 022</w:t>
            </w:r>
            <w:bookmarkStart w:id="0" w:name="_GoBack"/>
            <w:bookmarkEnd w:id="0"/>
          </w:p>
        </w:tc>
      </w:tr>
      <w:tr w:rsidR="002B5A5E" w:rsidTr="006C1AAB">
        <w:trPr>
          <w:trHeight w:val="8207"/>
          <w:jc w:val="center"/>
        </w:trPr>
        <w:tc>
          <w:tcPr>
            <w:tcW w:w="9376" w:type="dxa"/>
          </w:tcPr>
          <w:p w:rsidR="000175DB" w:rsidRDefault="000175DB" w:rsidP="002A42A6">
            <w:pPr>
              <w:jc w:val="both"/>
              <w:rPr>
                <w:b/>
                <w:u w:val="single"/>
              </w:rPr>
            </w:pPr>
          </w:p>
          <w:p w:rsidR="002A42A6" w:rsidRDefault="002A42A6" w:rsidP="002A42A6">
            <w:pPr>
              <w:jc w:val="center"/>
              <w:rPr>
                <w:b/>
                <w:u w:val="single"/>
              </w:rPr>
            </w:pPr>
            <w:r w:rsidRPr="002A42A6">
              <w:rPr>
                <w:b/>
                <w:u w:val="single"/>
              </w:rPr>
              <w:t>Launch of Joint Concentrated Inspection Campaign on STCW Hours of Rest</w:t>
            </w:r>
          </w:p>
          <w:p w:rsidR="0069280D" w:rsidRDefault="0069280D" w:rsidP="002A42A6">
            <w:pPr>
              <w:jc w:val="center"/>
              <w:rPr>
                <w:b/>
                <w:u w:val="single"/>
              </w:rPr>
            </w:pPr>
          </w:p>
          <w:p w:rsidR="0069280D" w:rsidRPr="00991351" w:rsidRDefault="0069280D" w:rsidP="00240098">
            <w:pPr>
              <w:jc w:val="both"/>
              <w:rPr>
                <w:bCs/>
                <w:sz w:val="20"/>
                <w:szCs w:val="20"/>
              </w:rPr>
            </w:pPr>
            <w:r w:rsidRPr="00991351">
              <w:rPr>
                <w:sz w:val="20"/>
                <w:szCs w:val="20"/>
              </w:rPr>
              <w:t xml:space="preserve">Please be advised that as of the </w:t>
            </w:r>
            <w:r w:rsidRPr="0010772B">
              <w:rPr>
                <w:b/>
                <w:sz w:val="20"/>
                <w:szCs w:val="20"/>
              </w:rPr>
              <w:t>1</w:t>
            </w:r>
            <w:r w:rsidRPr="0010772B">
              <w:rPr>
                <w:b/>
                <w:sz w:val="20"/>
                <w:szCs w:val="20"/>
                <w:vertAlign w:val="superscript"/>
              </w:rPr>
              <w:t xml:space="preserve">st </w:t>
            </w:r>
            <w:r w:rsidRPr="0010772B">
              <w:rPr>
                <w:b/>
                <w:sz w:val="20"/>
                <w:szCs w:val="20"/>
              </w:rPr>
              <w:t>September 2014</w:t>
            </w:r>
            <w:r w:rsidR="00240098" w:rsidRPr="00991351">
              <w:rPr>
                <w:sz w:val="20"/>
                <w:szCs w:val="20"/>
              </w:rPr>
              <w:t>,</w:t>
            </w:r>
            <w:r w:rsidRPr="00991351">
              <w:rPr>
                <w:sz w:val="20"/>
                <w:szCs w:val="20"/>
              </w:rPr>
              <w:t xml:space="preserve"> The Maritime Authorities of the Paris and the Tokyo Memoranda of Understanding on Port State Control will </w:t>
            </w:r>
            <w:r w:rsidR="00240098" w:rsidRPr="00991351">
              <w:rPr>
                <w:sz w:val="20"/>
                <w:szCs w:val="20"/>
              </w:rPr>
              <w:t xml:space="preserve">launch a joint Concentrated Inspection Campaign (CIC) with the purpose </w:t>
            </w:r>
            <w:r w:rsidR="00240098" w:rsidRPr="00991351">
              <w:rPr>
                <w:bCs/>
                <w:sz w:val="20"/>
                <w:szCs w:val="20"/>
              </w:rPr>
              <w:t>to establish that watch-keeping personnel are meeting the requirements regarding hours of rest as per STCW 78 as amended (including the Manila amendments).</w:t>
            </w:r>
          </w:p>
          <w:p w:rsidR="00240098" w:rsidRPr="00991351" w:rsidRDefault="00240098" w:rsidP="00240098">
            <w:pPr>
              <w:jc w:val="both"/>
              <w:rPr>
                <w:bCs/>
                <w:sz w:val="20"/>
                <w:szCs w:val="20"/>
              </w:rPr>
            </w:pPr>
          </w:p>
          <w:p w:rsidR="00240098" w:rsidRPr="0010772B" w:rsidRDefault="00240098" w:rsidP="00240098">
            <w:pPr>
              <w:jc w:val="both"/>
              <w:rPr>
                <w:b/>
                <w:bCs/>
                <w:sz w:val="20"/>
                <w:szCs w:val="20"/>
              </w:rPr>
            </w:pPr>
            <w:r w:rsidRPr="00991351">
              <w:rPr>
                <w:bCs/>
                <w:sz w:val="20"/>
                <w:szCs w:val="20"/>
              </w:rPr>
              <w:t xml:space="preserve">This campaign will last until the </w:t>
            </w:r>
            <w:r w:rsidRPr="0010772B">
              <w:rPr>
                <w:b/>
                <w:bCs/>
                <w:sz w:val="20"/>
                <w:szCs w:val="20"/>
              </w:rPr>
              <w:t>30</w:t>
            </w:r>
            <w:r w:rsidRPr="0010772B">
              <w:rPr>
                <w:b/>
                <w:bCs/>
                <w:sz w:val="20"/>
                <w:szCs w:val="20"/>
                <w:vertAlign w:val="superscript"/>
              </w:rPr>
              <w:t>th</w:t>
            </w:r>
            <w:r w:rsidRPr="0010772B">
              <w:rPr>
                <w:b/>
                <w:bCs/>
                <w:sz w:val="20"/>
                <w:szCs w:val="20"/>
              </w:rPr>
              <w:t xml:space="preserve"> November 2014.</w:t>
            </w:r>
          </w:p>
          <w:p w:rsidR="00240098" w:rsidRPr="00991351" w:rsidRDefault="00240098" w:rsidP="00240098">
            <w:pPr>
              <w:jc w:val="both"/>
              <w:rPr>
                <w:bCs/>
                <w:sz w:val="20"/>
                <w:szCs w:val="20"/>
              </w:rPr>
            </w:pPr>
          </w:p>
          <w:p w:rsidR="00240098" w:rsidRPr="00991351" w:rsidRDefault="00240098" w:rsidP="00240098">
            <w:pPr>
              <w:jc w:val="both"/>
              <w:rPr>
                <w:bCs/>
                <w:sz w:val="20"/>
                <w:szCs w:val="20"/>
              </w:rPr>
            </w:pPr>
            <w:r w:rsidRPr="00991351">
              <w:rPr>
                <w:bCs/>
                <w:sz w:val="20"/>
                <w:szCs w:val="20"/>
              </w:rPr>
              <w:t>The Port State Control Officers (PSCO’s) will need evidence to show the hours of rest for the deck and engine room watch-keepers, to establish that they comply with the recommendations set out in the STCW 78 amendment.</w:t>
            </w:r>
          </w:p>
          <w:p w:rsidR="00240098" w:rsidRPr="00991351" w:rsidRDefault="00240098" w:rsidP="00240098">
            <w:pPr>
              <w:jc w:val="both"/>
              <w:rPr>
                <w:bCs/>
                <w:sz w:val="20"/>
                <w:szCs w:val="20"/>
              </w:rPr>
            </w:pPr>
          </w:p>
          <w:p w:rsidR="00240098" w:rsidRPr="00991351" w:rsidRDefault="00240098" w:rsidP="00240098">
            <w:pPr>
              <w:pStyle w:val="Default"/>
              <w:rPr>
                <w:sz w:val="20"/>
                <w:szCs w:val="20"/>
              </w:rPr>
            </w:pPr>
            <w:r w:rsidRPr="00991351">
              <w:rPr>
                <w:sz w:val="20"/>
                <w:szCs w:val="20"/>
              </w:rPr>
              <w:t>Port State Control Officers (PSCOs) will use a list of 10 selected items to establish that watch</w:t>
            </w:r>
            <w:r w:rsidR="00991351" w:rsidRPr="00991351">
              <w:rPr>
                <w:sz w:val="20"/>
                <w:szCs w:val="20"/>
              </w:rPr>
              <w:t>-</w:t>
            </w:r>
            <w:r w:rsidRPr="00991351">
              <w:rPr>
                <w:sz w:val="20"/>
                <w:szCs w:val="20"/>
              </w:rPr>
              <w:t xml:space="preserve">keeping personnel are meeting the requirements regarding hours of rest, focusing attention on the Minimum Safe Manning Document (MSMD) and records of rest. In addition information will be gathered on the watch system, whether the MSMD requires an Engineer officer and whether the ship is designated UMS (Periodically Unattended Machinery Space). For this purpose, PSCOs will apply a questionnaire listing a number of items to be covered during the concentrated inspection campaign. The questionnaire has been annexed to this press release. </w:t>
            </w:r>
          </w:p>
          <w:p w:rsidR="00240098" w:rsidRPr="00991351" w:rsidRDefault="00240098" w:rsidP="00240098">
            <w:pPr>
              <w:pStyle w:val="Default"/>
              <w:rPr>
                <w:sz w:val="20"/>
                <w:szCs w:val="20"/>
              </w:rPr>
            </w:pPr>
            <w:r w:rsidRPr="00991351">
              <w:rPr>
                <w:sz w:val="20"/>
                <w:szCs w:val="20"/>
              </w:rPr>
              <w:t xml:space="preserve">When deficiencies are found, actions by the port State may vary from recording a deficiency and instructing the master to rectify it within a certain period to detaining the ship until serious deficiencies have been rectified. In the case of detention, publication in the monthly detention lists of the Paris and Tokyo </w:t>
            </w:r>
            <w:proofErr w:type="spellStart"/>
            <w:r w:rsidRPr="00991351">
              <w:rPr>
                <w:sz w:val="20"/>
                <w:szCs w:val="20"/>
              </w:rPr>
              <w:t>MoU</w:t>
            </w:r>
            <w:proofErr w:type="spellEnd"/>
            <w:r w:rsidRPr="00991351">
              <w:rPr>
                <w:sz w:val="20"/>
                <w:szCs w:val="20"/>
              </w:rPr>
              <w:t xml:space="preserve"> web sites will take place.</w:t>
            </w:r>
          </w:p>
          <w:p w:rsidR="00240098" w:rsidRPr="00991351" w:rsidRDefault="00240098" w:rsidP="00240098">
            <w:pPr>
              <w:pStyle w:val="Default"/>
              <w:pageBreakBefore/>
              <w:rPr>
                <w:sz w:val="20"/>
                <w:szCs w:val="20"/>
              </w:rPr>
            </w:pPr>
            <w:r w:rsidRPr="00991351">
              <w:rPr>
                <w:sz w:val="20"/>
                <w:szCs w:val="20"/>
              </w:rPr>
              <w:t xml:space="preserve">It is expected that the Paris and Tokyo </w:t>
            </w:r>
            <w:proofErr w:type="spellStart"/>
            <w:r w:rsidRPr="00991351">
              <w:rPr>
                <w:sz w:val="20"/>
                <w:szCs w:val="20"/>
              </w:rPr>
              <w:t>MoU</w:t>
            </w:r>
            <w:r w:rsidR="00991351" w:rsidRPr="00991351">
              <w:rPr>
                <w:sz w:val="20"/>
                <w:szCs w:val="20"/>
              </w:rPr>
              <w:t>’</w:t>
            </w:r>
            <w:r w:rsidRPr="00991351">
              <w:rPr>
                <w:sz w:val="20"/>
                <w:szCs w:val="20"/>
              </w:rPr>
              <w:t>s</w:t>
            </w:r>
            <w:proofErr w:type="spellEnd"/>
            <w:r w:rsidRPr="00991351">
              <w:rPr>
                <w:sz w:val="20"/>
                <w:szCs w:val="20"/>
              </w:rPr>
              <w:t xml:space="preserve"> will carry out approximately 10,000 inspections during the CIC. </w:t>
            </w:r>
          </w:p>
          <w:p w:rsidR="00240098" w:rsidRPr="00991351" w:rsidRDefault="00240098" w:rsidP="00240098">
            <w:pPr>
              <w:jc w:val="both"/>
              <w:rPr>
                <w:sz w:val="20"/>
                <w:szCs w:val="20"/>
              </w:rPr>
            </w:pPr>
            <w:r w:rsidRPr="00991351">
              <w:rPr>
                <w:sz w:val="20"/>
                <w:szCs w:val="20"/>
              </w:rPr>
              <w:t>The result</w:t>
            </w:r>
            <w:r w:rsidR="00991351" w:rsidRPr="00991351">
              <w:rPr>
                <w:sz w:val="20"/>
                <w:szCs w:val="20"/>
              </w:rPr>
              <w:t>s of the campaign will be analys</w:t>
            </w:r>
            <w:r w:rsidRPr="00991351">
              <w:rPr>
                <w:sz w:val="20"/>
                <w:szCs w:val="20"/>
              </w:rPr>
              <w:t xml:space="preserve">ed and findings will be presented to the governing bodies of the </w:t>
            </w:r>
            <w:proofErr w:type="spellStart"/>
            <w:r w:rsidRPr="00991351">
              <w:rPr>
                <w:sz w:val="20"/>
                <w:szCs w:val="20"/>
              </w:rPr>
              <w:t>MoU</w:t>
            </w:r>
            <w:r w:rsidR="00991351" w:rsidRPr="00991351">
              <w:rPr>
                <w:sz w:val="20"/>
                <w:szCs w:val="20"/>
              </w:rPr>
              <w:t>’</w:t>
            </w:r>
            <w:r w:rsidRPr="00991351">
              <w:rPr>
                <w:sz w:val="20"/>
                <w:szCs w:val="20"/>
              </w:rPr>
              <w:t>s</w:t>
            </w:r>
            <w:proofErr w:type="spellEnd"/>
            <w:r w:rsidRPr="00991351">
              <w:rPr>
                <w:sz w:val="20"/>
                <w:szCs w:val="20"/>
              </w:rPr>
              <w:t xml:space="preserve"> for submission to the IMO.</w:t>
            </w:r>
          </w:p>
          <w:p w:rsidR="00991351" w:rsidRDefault="00991351" w:rsidP="0069280D">
            <w:pPr>
              <w:jc w:val="both"/>
            </w:pPr>
          </w:p>
          <w:p w:rsidR="00991351" w:rsidRPr="0069280D" w:rsidRDefault="00991351" w:rsidP="00991351">
            <w:pPr>
              <w:jc w:val="both"/>
            </w:pPr>
          </w:p>
        </w:tc>
      </w:tr>
      <w:tr w:rsidR="002B5A5E" w:rsidTr="006C1AAB">
        <w:trPr>
          <w:trHeight w:val="850"/>
          <w:jc w:val="center"/>
        </w:trPr>
        <w:tc>
          <w:tcPr>
            <w:tcW w:w="9376" w:type="dxa"/>
            <w:shd w:val="clear" w:color="auto" w:fill="FF0000"/>
            <w:vAlign w:val="center"/>
          </w:tcPr>
          <w:p w:rsidR="002B5A5E" w:rsidRPr="006C1AAB" w:rsidRDefault="002D0F17" w:rsidP="002D0F17">
            <w:pPr>
              <w:jc w:val="center"/>
              <w:rPr>
                <w:b/>
                <w:color w:val="FFFFFF" w:themeColor="background1"/>
                <w:sz w:val="12"/>
                <w:szCs w:val="12"/>
              </w:rPr>
            </w:pPr>
            <w:r w:rsidRPr="006C1AAB">
              <w:rPr>
                <w:b/>
                <w:color w:val="FFFFFF" w:themeColor="background1"/>
                <w:sz w:val="12"/>
                <w:szCs w:val="12"/>
              </w:rPr>
              <w:t>The information and opinions expressed in this report are the views of Allmode Intelligence section, part of Allmode Limited (“Allmode”) and constitute a judgment as at the Report time and are subject to change without notice. The information and opinions expressed in this Report have been formed in good faith on the basis of the information and intelligence available at the time of writing, but no representation or warranty, expressed or implied, is made as to its accuracy, completeness or correctness. Allmode accepts no liability arising out of or in connection with the comments made or the information set out in this report and the reader is advised that any decision taken to act or not to act in reliance on this report is taken solely at the readers own risk. In particular, any comments in this report should not be construed as advice, legal or otherwise.</w:t>
            </w:r>
          </w:p>
        </w:tc>
      </w:tr>
      <w:tr w:rsidR="002B5A5E" w:rsidTr="006C1AAB">
        <w:trPr>
          <w:trHeight w:val="658"/>
          <w:jc w:val="center"/>
        </w:trPr>
        <w:tc>
          <w:tcPr>
            <w:tcW w:w="9376" w:type="dxa"/>
            <w:shd w:val="clear" w:color="auto" w:fill="000000" w:themeFill="text1"/>
            <w:vAlign w:val="center"/>
          </w:tcPr>
          <w:p w:rsidR="002B5A5E" w:rsidRPr="002039E6" w:rsidRDefault="00F63E24" w:rsidP="00A22306">
            <w:pPr>
              <w:jc w:val="center"/>
              <w:rPr>
                <w:sz w:val="16"/>
                <w:szCs w:val="16"/>
              </w:rPr>
            </w:pPr>
            <w:r w:rsidRPr="002039E6">
              <w:rPr>
                <w:b/>
                <w:color w:val="FFFFFF" w:themeColor="background1"/>
                <w:sz w:val="16"/>
                <w:szCs w:val="16"/>
              </w:rPr>
              <w:t>The information contained in this report is taken from open source and from sites or messages received from Allmode Teams, UKMTO, MARLO, MSCHOA, IMB ICC and other sources. Allmode will publish with each report what source the information was gathered from</w:t>
            </w:r>
          </w:p>
        </w:tc>
      </w:tr>
      <w:tr w:rsidR="002B5A5E" w:rsidTr="006C1AAB">
        <w:trPr>
          <w:trHeight w:val="1032"/>
          <w:jc w:val="center"/>
        </w:trPr>
        <w:tc>
          <w:tcPr>
            <w:tcW w:w="9376" w:type="dxa"/>
            <w:vAlign w:val="center"/>
          </w:tcPr>
          <w:p w:rsidR="00F63E24" w:rsidRDefault="00A22306">
            <w:r>
              <w:rPr>
                <w:noProof/>
                <w:lang w:eastAsia="en-GB"/>
              </w:rPr>
              <w:drawing>
                <wp:anchor distT="0" distB="0" distL="114300" distR="114300" simplePos="0" relativeHeight="251663360" behindDoc="0" locked="0" layoutInCell="1" allowOverlap="1" wp14:anchorId="749D65A7" wp14:editId="5551B193">
                  <wp:simplePos x="0" y="0"/>
                  <wp:positionH relativeFrom="column">
                    <wp:posOffset>-50800</wp:posOffset>
                  </wp:positionH>
                  <wp:positionV relativeFrom="paragraph">
                    <wp:posOffset>-3810</wp:posOffset>
                  </wp:positionV>
                  <wp:extent cx="5905500" cy="6584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658495"/>
                          </a:xfrm>
                          <a:prstGeom prst="rect">
                            <a:avLst/>
                          </a:prstGeom>
                          <a:noFill/>
                        </pic:spPr>
                      </pic:pic>
                    </a:graphicData>
                  </a:graphic>
                  <wp14:sizeRelH relativeFrom="page">
                    <wp14:pctWidth>0</wp14:pctWidth>
                  </wp14:sizeRelH>
                  <wp14:sizeRelV relativeFrom="page">
                    <wp14:pctHeight>0</wp14:pctHeight>
                  </wp14:sizeRelV>
                </wp:anchor>
              </w:drawing>
            </w:r>
          </w:p>
          <w:p w:rsidR="00F63E24" w:rsidRPr="00F63E24" w:rsidRDefault="00F63E24" w:rsidP="00F63E24"/>
          <w:p w:rsidR="00F63E24" w:rsidRPr="00F63E24" w:rsidRDefault="00F63E24" w:rsidP="00F63E24"/>
          <w:p w:rsidR="002B5A5E" w:rsidRPr="00F63E24" w:rsidRDefault="002B5A5E" w:rsidP="00F63E24"/>
        </w:tc>
      </w:tr>
    </w:tbl>
    <w:p w:rsidR="00737965" w:rsidRDefault="007B6CE6">
      <w:r>
        <w:rPr>
          <w:noProof/>
          <w:lang w:eastAsia="en-GB"/>
        </w:rPr>
        <mc:AlternateContent>
          <mc:Choice Requires="wps">
            <w:drawing>
              <wp:anchor distT="0" distB="0" distL="114300" distR="114300" simplePos="0" relativeHeight="251658240" behindDoc="0" locked="0" layoutInCell="1" allowOverlap="1" wp14:anchorId="4F006A56" wp14:editId="5DFC4CCB">
                <wp:simplePos x="0" y="0"/>
                <wp:positionH relativeFrom="column">
                  <wp:posOffset>-114300</wp:posOffset>
                </wp:positionH>
                <wp:positionV relativeFrom="paragraph">
                  <wp:posOffset>1703705</wp:posOffset>
                </wp:positionV>
                <wp:extent cx="119380" cy="114300"/>
                <wp:effectExtent l="0" t="1905" r="0" b="0"/>
                <wp:wrapTight wrapText="bothSides">
                  <wp:wrapPolygon edited="0">
                    <wp:start x="0" y="0"/>
                    <wp:lineTo x="21600" y="0"/>
                    <wp:lineTo x="21600" y="21600"/>
                    <wp:lineTo x="0" y="21600"/>
                    <wp:lineTo x="0" y="0"/>
                  </wp:wrapPolygon>
                </wp:wrapTight>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D6" w:rsidRPr="008700D6" w:rsidRDefault="00A23A83" w:rsidP="005C4E2F">
                            <w:pPr>
                              <w:rPr>
                                <w:b/>
                                <w:color w:val="000000" w:themeColor="text1"/>
                                <w:sz w:val="8"/>
                                <w:szCs w:val="8"/>
                              </w:rPr>
                            </w:pPr>
                            <w:r w:rsidRPr="005D241E">
                              <w:rPr>
                                <w:b/>
                                <w:color w:val="000000" w:themeColor="text1"/>
                                <w:sz w:val="20"/>
                                <w:szCs w:val="20"/>
                              </w:rPr>
                              <w:t xml:space="preserve">, </w:t>
                            </w:r>
                          </w:p>
                          <w:p w:rsidR="00A23A83" w:rsidRPr="005D241E" w:rsidRDefault="008700D6" w:rsidP="005C4E2F">
                            <w:pPr>
                              <w:rPr>
                                <w:b/>
                                <w:color w:val="000000" w:themeColor="text1"/>
                                <w:sz w:val="20"/>
                                <w:szCs w:val="20"/>
                              </w:rPr>
                            </w:pPr>
                            <w:r w:rsidRPr="008700D6">
                              <w:rPr>
                                <w:b/>
                                <w:color w:val="000000" w:themeColor="text1"/>
                              </w:rPr>
                              <w:t xml:space="preserve">Incident Type: </w:t>
                            </w:r>
                            <w:sdt>
                              <w:sdtPr>
                                <w:rPr>
                                  <w:color w:val="000000" w:themeColor="text1"/>
                                </w:rPr>
                                <w:id w:val="-18785484"/>
                                <w:dropDownList>
                                  <w:listItem w:value="Choose an item."/>
                                  <w:listItem w:displayText="Hijack" w:value="Hijack"/>
                                  <w:listItem w:displayText="Attack" w:value="Attack"/>
                                  <w:listItem w:displayText="Suspicious Approach" w:value="Suspicious Approach"/>
                                  <w:listItem w:displayText="Boarding" w:value="Boarding"/>
                                  <w:listItem w:displayText="Robbery at Anchor" w:value="Robbery at Anchor"/>
                                </w:dropDownList>
                              </w:sdtPr>
                              <w:sdtEndPr/>
                              <w:sdtContent>
                                <w:r w:rsidRPr="008700D6">
                                  <w:rPr>
                                    <w:color w:val="000000" w:themeColor="text1"/>
                                  </w:rPr>
                                  <w:t>Suspicious Approach</w:t>
                                </w:r>
                              </w:sdtContent>
                            </w:sdt>
                          </w:p>
                          <w:p w:rsidR="008700D6" w:rsidRDefault="004339FC">
                            <w:proofErr w:type="spellStart"/>
                            <w:r>
                              <w:t>Jfkjgjlgkdjgdfjgdglkdjggjgkdjgkgjgjdg</w:t>
                            </w:r>
                            <w:proofErr w:type="spellEnd"/>
                          </w:p>
                          <w:p w:rsidR="004339FC" w:rsidRDefault="004339FC"/>
                          <w:p w:rsidR="004339FC" w:rsidRDefault="004339FC"/>
                          <w:p w:rsidR="004339FC" w:rsidRDefault="004339FC"/>
                          <w:p w:rsidR="004339FC" w:rsidRDefault="004339FC"/>
                          <w:p w:rsidR="004339FC" w:rsidRPr="008700D6" w:rsidRDefault="004339FC">
                            <w:proofErr w:type="spellStart"/>
                            <w:proofErr w:type="gramStart"/>
                            <w:r>
                              <w:t>sglgfglkgdlkghdgkdiptoyiegohihbohb</w:t>
                            </w:r>
                            <w:proofErr w:type="spellEnd"/>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pt;margin-top:134.15pt;width:9.4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" filled="f" stroked="f">
                <v:textbox inset=",7.2pt,,7.2pt">
                  <w:txbxContent>
                    <w:p w:rsidR="008700D6" w:rsidRPr="008700D6" w:rsidRDefault="00A23A83" w:rsidP="005C4E2F">
                      <w:pPr>
                        <w:rPr>
                          <w:b/>
                          <w:color w:val="000000" w:themeColor="text1"/>
                          <w:sz w:val="8"/>
                          <w:szCs w:val="8"/>
                        </w:rPr>
                      </w:pPr>
                      <w:r w:rsidRPr="005D241E">
                        <w:rPr>
                          <w:b/>
                          <w:color w:val="000000" w:themeColor="text1"/>
                          <w:sz w:val="20"/>
                          <w:szCs w:val="20"/>
                        </w:rPr>
                        <w:t xml:space="preserve">, </w:t>
                      </w:r>
                    </w:p>
                    <w:p w:rsidR="00A23A83" w:rsidRPr="005D241E" w:rsidRDefault="008700D6" w:rsidP="005C4E2F">
                      <w:pPr>
                        <w:rPr>
                          <w:b/>
                          <w:color w:val="000000" w:themeColor="text1"/>
                          <w:sz w:val="20"/>
                          <w:szCs w:val="20"/>
                        </w:rPr>
                      </w:pPr>
                      <w:r w:rsidRPr="008700D6">
                        <w:rPr>
                          <w:b/>
                          <w:color w:val="000000" w:themeColor="text1"/>
                        </w:rPr>
                        <w:t xml:space="preserve">Incident Type: </w:t>
                      </w:r>
                      <w:sdt>
                        <w:sdtPr>
                          <w:rPr>
                            <w:color w:val="000000" w:themeColor="text1"/>
                          </w:rPr>
                          <w:id w:val="-18785484"/>
                          <w:dropDownList>
                            <w:listItem w:value="Choose an item."/>
                            <w:listItem w:displayText="Hijack" w:value="Hijack"/>
                            <w:listItem w:displayText="Attack" w:value="Attack"/>
                            <w:listItem w:displayText="Suspicious Approach" w:value="Suspicious Approach"/>
                            <w:listItem w:displayText="Boarding" w:value="Boarding"/>
                            <w:listItem w:displayText="Robbery at Anchor" w:value="Robbery at Anchor"/>
                          </w:dropDownList>
                        </w:sdtPr>
                        <w:sdtEndPr/>
                        <w:sdtContent>
                          <w:r w:rsidRPr="008700D6">
                            <w:rPr>
                              <w:color w:val="000000" w:themeColor="text1"/>
                            </w:rPr>
                            <w:t>Suspicious Approach</w:t>
                          </w:r>
                        </w:sdtContent>
                      </w:sdt>
                    </w:p>
                    <w:p w:rsidR="008700D6" w:rsidRDefault="004339FC">
                      <w:proofErr w:type="spellStart"/>
                      <w:r>
                        <w:t>Jfkjgjlgkdjgdfjgdglkdjggjgkdjgkgjgjdg</w:t>
                      </w:r>
                      <w:proofErr w:type="spellEnd"/>
                    </w:p>
                    <w:p w:rsidR="004339FC" w:rsidRDefault="004339FC"/>
                    <w:p w:rsidR="004339FC" w:rsidRDefault="004339FC"/>
                    <w:p w:rsidR="004339FC" w:rsidRDefault="004339FC"/>
                    <w:p w:rsidR="004339FC" w:rsidRDefault="004339FC"/>
                    <w:p w:rsidR="004339FC" w:rsidRPr="008700D6" w:rsidRDefault="004339FC">
                      <w:proofErr w:type="spellStart"/>
                      <w:proofErr w:type="gramStart"/>
                      <w:r>
                        <w:t>sglgfglkgdlkghdgkdiptoyiegohihbohb</w:t>
                      </w:r>
                      <w:proofErr w:type="spellEnd"/>
                      <w:proofErr w:type="gramEnd"/>
                    </w:p>
                  </w:txbxContent>
                </v:textbox>
                <w10:wrap type="tight"/>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5722620</wp:posOffset>
                </wp:positionH>
                <wp:positionV relativeFrom="paragraph">
                  <wp:posOffset>6732905</wp:posOffset>
                </wp:positionV>
                <wp:extent cx="113665" cy="114300"/>
                <wp:effectExtent l="0" t="1905" r="4445" b="0"/>
                <wp:wrapTight wrapText="bothSides">
                  <wp:wrapPolygon edited="0">
                    <wp:start x="0" y="0"/>
                    <wp:lineTo x="21600" y="0"/>
                    <wp:lineTo x="21600" y="21600"/>
                    <wp:lineTo x="0" y="21600"/>
                    <wp:lineTo x="0" y="0"/>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A83" w:rsidRPr="005338EB" w:rsidRDefault="00A23A83" w:rsidP="00DF5C9F">
                            <w:pPr>
                              <w:spacing w:after="0" w:line="240" w:lineRule="auto"/>
                              <w:jc w:val="center"/>
                              <w:rPr>
                                <w:b/>
                                <w:color w:val="FFFFFF" w:themeColor="background1"/>
                                <w:sz w:val="40"/>
                                <w:szCs w:val="40"/>
                                <w14:props3d w14:extrusionH="57150" w14:contourW="0" w14:prstMaterial="warmMatte">
                                  <w14:bevelT w14:w="38100" w14:h="38100" w14:prst="angle"/>
                                </w14:props3d>
                              </w:rPr>
                            </w:pPr>
                            <w:r w:rsidRPr="005338EB">
                              <w:rPr>
                                <w:b/>
                                <w:color w:val="FFFFFF" w:themeColor="background1"/>
                                <w:sz w:val="40"/>
                                <w:szCs w:val="40"/>
                                <w14:props3d w14:extrusionH="57150" w14:contourW="0" w14:prstMaterial="warmMatte">
                                  <w14:bevelT w14:w="38100" w14:h="38100" w14:prst="angle"/>
                                </w14:props3d>
                              </w:rPr>
                              <w:t>ANTI – PIRACY UPDATE</w:t>
                            </w:r>
                            <w:r w:rsidR="00FD5FDB" w:rsidRPr="005338EB">
                              <w:rPr>
                                <w:b/>
                                <w:color w:val="FFFFFF" w:themeColor="background1"/>
                                <w:sz w:val="40"/>
                                <w:szCs w:val="40"/>
                                <w14:props3d w14:extrusionH="57150" w14:contourW="0" w14:prstMaterial="warmMatte">
                                  <w14:bevelT w14:w="38100" w14:h="38100" w14:prst="angle"/>
                                </w14:props3d>
                              </w:rPr>
                              <w:t xml:space="preserve"> </w:t>
                            </w:r>
                            <w:r w:rsidR="00F638C1" w:rsidRPr="005338EB">
                              <w:rPr>
                                <w:b/>
                                <w:color w:val="FFFFFF" w:themeColor="background1"/>
                                <w:sz w:val="40"/>
                                <w:szCs w:val="40"/>
                                <w14:props3d w14:extrusionH="57150" w14:contourW="0" w14:prstMaterial="warmMatte">
                                  <w14:bevelT w14:w="38100" w14:h="38100" w14:prst="angle"/>
                                </w14:props3d>
                              </w:rPr>
                              <w:t>104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6pt;margin-top:530.15pt;width:8.9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" filled="f" stroked="f">
                <v:textbox inset=",7.2pt,,7.2pt">
                  <w:txbxContent>
                    <w:p w:rsidR="00A23A83" w:rsidRPr="005338EB" w:rsidRDefault="00A23A83" w:rsidP="00DF5C9F">
                      <w:pPr>
                        <w:spacing w:after="0" w:line="240" w:lineRule="auto"/>
                        <w:jc w:val="center"/>
                        <w:rPr>
                          <w:b/>
                          <w:color w:val="FFFFFF" w:themeColor="background1"/>
                          <w:sz w:val="40"/>
                          <w:szCs w:val="40"/>
                          <w14:props3d w14:extrusionH="57150" w14:contourW="0" w14:prstMaterial="warmMatte">
                            <w14:bevelT w14:w="38100" w14:h="38100" w14:prst="angle"/>
                          </w14:props3d>
                        </w:rPr>
                      </w:pPr>
                      <w:r w:rsidRPr="005338EB">
                        <w:rPr>
                          <w:b/>
                          <w:color w:val="FFFFFF" w:themeColor="background1"/>
                          <w:sz w:val="40"/>
                          <w:szCs w:val="40"/>
                          <w14:props3d w14:extrusionH="57150" w14:contourW="0" w14:prstMaterial="warmMatte">
                            <w14:bevelT w14:w="38100" w14:h="38100" w14:prst="angle"/>
                          </w14:props3d>
                        </w:rPr>
                        <w:t>ANTI – PIRACY UPDATE</w:t>
                      </w:r>
                      <w:r w:rsidR="00FD5FDB" w:rsidRPr="005338EB">
                        <w:rPr>
                          <w:b/>
                          <w:color w:val="FFFFFF" w:themeColor="background1"/>
                          <w:sz w:val="40"/>
                          <w:szCs w:val="40"/>
                          <w14:props3d w14:extrusionH="57150" w14:contourW="0" w14:prstMaterial="warmMatte">
                            <w14:bevelT w14:w="38100" w14:h="38100" w14:prst="angle"/>
                          </w14:props3d>
                        </w:rPr>
                        <w:t xml:space="preserve"> </w:t>
                      </w:r>
                      <w:r w:rsidR="00F638C1" w:rsidRPr="005338EB">
                        <w:rPr>
                          <w:b/>
                          <w:color w:val="FFFFFF" w:themeColor="background1"/>
                          <w:sz w:val="40"/>
                          <w:szCs w:val="40"/>
                          <w14:props3d w14:extrusionH="57150" w14:contourW="0" w14:prstMaterial="warmMatte">
                            <w14:bevelT w14:w="38100" w14:h="38100" w14:prst="angle"/>
                          </w14:props3d>
                        </w:rPr>
                        <w:t>104</w:t>
                      </w:r>
                    </w:p>
                  </w:txbxContent>
                </v:textbox>
                <w10:wrap type="tight"/>
              </v:shape>
            </w:pict>
          </mc:Fallback>
        </mc:AlternateContent>
      </w:r>
    </w:p>
    <w:sectPr w:rsidR="00737965" w:rsidSect="00F63E24">
      <w:headerReference w:type="default" r:id="rId9"/>
      <w:footerReference w:type="default" r:id="rId10"/>
      <w:pgSz w:w="11906" w:h="16838"/>
      <w:pgMar w:top="1440" w:right="1368" w:bottom="993" w:left="1152" w:header="708" w:footer="1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14" w:rsidRDefault="00D64F14" w:rsidP="00A114FB">
      <w:pPr>
        <w:spacing w:after="0" w:line="240" w:lineRule="auto"/>
      </w:pPr>
      <w:r>
        <w:separator/>
      </w:r>
    </w:p>
  </w:endnote>
  <w:endnote w:type="continuationSeparator" w:id="0">
    <w:p w:rsidR="00D64F14" w:rsidRDefault="00D64F14" w:rsidP="00A1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A83" w:rsidRDefault="00A23A83">
    <w:pPr>
      <w:pStyle w:val="Footer"/>
    </w:pPr>
  </w:p>
  <w:tbl>
    <w:tblPr>
      <w:tblW w:w="4963" w:type="pct"/>
      <w:tblCellMar>
        <w:top w:w="72" w:type="dxa"/>
        <w:left w:w="115" w:type="dxa"/>
        <w:bottom w:w="72" w:type="dxa"/>
        <w:right w:w="115" w:type="dxa"/>
      </w:tblCellMar>
      <w:tblLook w:val="04A0" w:firstRow="1" w:lastRow="0" w:firstColumn="1" w:lastColumn="0" w:noHBand="0" w:noVBand="1"/>
    </w:tblPr>
    <w:tblGrid>
      <w:gridCol w:w="8661"/>
      <w:gridCol w:w="884"/>
    </w:tblGrid>
    <w:tr w:rsidR="00055CF4" w:rsidRPr="000409D1" w:rsidTr="0093204E">
      <w:tc>
        <w:tcPr>
          <w:tcW w:w="4537" w:type="pct"/>
          <w:tcBorders>
            <w:top w:val="single" w:sz="4" w:space="0" w:color="000000" w:themeColor="text1"/>
          </w:tcBorders>
        </w:tcPr>
        <w:p w:rsidR="00055CF4" w:rsidRPr="000409D1" w:rsidRDefault="00055CF4" w:rsidP="00096377">
          <w:pPr>
            <w:tabs>
              <w:tab w:val="center" w:pos="4680"/>
              <w:tab w:val="right" w:pos="9360"/>
            </w:tabs>
            <w:spacing w:after="0" w:line="240" w:lineRule="auto"/>
            <w:rPr>
              <w:rFonts w:ascii="Calibri" w:eastAsia="Calibri" w:hAnsi="Calibri"/>
            </w:rPr>
          </w:pPr>
          <w:r w:rsidRPr="000409D1">
            <w:rPr>
              <w:rFonts w:ascii="Calibri" w:eastAsia="Calibri" w:hAnsi="Calibri"/>
            </w:rPr>
            <w:t>ALLMODE LIMITED| Allmo</w:t>
          </w:r>
          <w:r>
            <w:rPr>
              <w:rFonts w:ascii="Calibri" w:eastAsia="Calibri" w:hAnsi="Calibri"/>
            </w:rPr>
            <w:t>de Section 800 – Intelligence– 80</w:t>
          </w:r>
          <w:r w:rsidR="000434EB">
            <w:rPr>
              <w:rFonts w:ascii="Calibri" w:eastAsia="Calibri" w:hAnsi="Calibri"/>
            </w:rPr>
            <w:t>1-</w:t>
          </w:r>
          <w:r w:rsidR="00096377">
            <w:rPr>
              <w:rFonts w:ascii="Calibri" w:eastAsia="Calibri" w:hAnsi="Calibri"/>
            </w:rPr>
            <w:t xml:space="preserve"> Maritime Intelligence</w:t>
          </w:r>
          <w:r w:rsidRPr="000409D1">
            <w:rPr>
              <w:rFonts w:ascii="Calibri" w:eastAsia="Calibri" w:hAnsi="Calibri"/>
            </w:rPr>
            <w:t xml:space="preserve"> </w:t>
          </w:r>
        </w:p>
      </w:tc>
      <w:tc>
        <w:tcPr>
          <w:tcW w:w="463" w:type="pct"/>
          <w:tcBorders>
            <w:top w:val="single" w:sz="4" w:space="0" w:color="C0504D" w:themeColor="accent2"/>
          </w:tcBorders>
          <w:shd w:val="clear" w:color="auto" w:fill="943634" w:themeFill="accent2" w:themeFillShade="BF"/>
        </w:tcPr>
        <w:p w:rsidR="00055CF4" w:rsidRPr="000409D1" w:rsidRDefault="00055CF4" w:rsidP="0093204E">
          <w:pPr>
            <w:tabs>
              <w:tab w:val="center" w:pos="4680"/>
              <w:tab w:val="right" w:pos="9360"/>
            </w:tabs>
            <w:spacing w:after="0" w:line="240" w:lineRule="auto"/>
            <w:jc w:val="center"/>
            <w:rPr>
              <w:rFonts w:ascii="Calibri" w:eastAsia="Calibri" w:hAnsi="Calibri"/>
              <w:color w:val="FFFFFF"/>
            </w:rPr>
          </w:pPr>
          <w:r w:rsidRPr="000409D1">
            <w:rPr>
              <w:rFonts w:ascii="Calibri" w:eastAsia="Calibri" w:hAnsi="Calibri"/>
            </w:rPr>
            <w:fldChar w:fldCharType="begin"/>
          </w:r>
          <w:r w:rsidRPr="000409D1">
            <w:rPr>
              <w:rFonts w:ascii="Calibri" w:eastAsia="Calibri" w:hAnsi="Calibri"/>
            </w:rPr>
            <w:instrText xml:space="preserve"> PAGE   \* MERGEFORMAT </w:instrText>
          </w:r>
          <w:r w:rsidRPr="000409D1">
            <w:rPr>
              <w:rFonts w:ascii="Calibri" w:eastAsia="Calibri" w:hAnsi="Calibri"/>
            </w:rPr>
            <w:fldChar w:fldCharType="separate"/>
          </w:r>
          <w:r w:rsidR="0057694D" w:rsidRPr="0057694D">
            <w:rPr>
              <w:rFonts w:ascii="Calibri" w:eastAsia="Calibri" w:hAnsi="Calibri"/>
              <w:noProof/>
              <w:color w:val="FFFFFF"/>
            </w:rPr>
            <w:t>1</w:t>
          </w:r>
          <w:r w:rsidRPr="000409D1">
            <w:rPr>
              <w:rFonts w:ascii="Calibri" w:eastAsia="Calibri" w:hAnsi="Calibri"/>
              <w:noProof/>
              <w:color w:val="FFFFFF"/>
            </w:rPr>
            <w:fldChar w:fldCharType="end"/>
          </w:r>
        </w:p>
      </w:tc>
    </w:tr>
  </w:tbl>
  <w:p w:rsidR="00055CF4" w:rsidRDefault="00055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14" w:rsidRDefault="00D64F14" w:rsidP="00A114FB">
      <w:pPr>
        <w:spacing w:after="0" w:line="240" w:lineRule="auto"/>
      </w:pPr>
      <w:r>
        <w:separator/>
      </w:r>
    </w:p>
  </w:footnote>
  <w:footnote w:type="continuationSeparator" w:id="0">
    <w:p w:rsidR="00D64F14" w:rsidRDefault="00D64F14" w:rsidP="00A1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5E" w:rsidRPr="007B655E" w:rsidRDefault="007B655E" w:rsidP="007B655E">
    <w:pPr>
      <w:tabs>
        <w:tab w:val="center" w:pos="4680"/>
        <w:tab w:val="right" w:pos="9360"/>
      </w:tabs>
      <w:spacing w:after="0" w:line="240" w:lineRule="auto"/>
      <w:ind w:hanging="142"/>
      <w:rPr>
        <w:rFonts w:ascii="Times New Roman" w:eastAsia="SimSun" w:hAnsi="Times New Roman" w:cs="Angsana New"/>
        <w:sz w:val="20"/>
        <w:szCs w:val="20"/>
        <w:lang w:val="en-US" w:bidi="th-TH"/>
      </w:rPr>
    </w:pPr>
    <w:r>
      <w:rPr>
        <w:rFonts w:ascii="Times New Roman" w:eastAsia="SimSun" w:hAnsi="Times New Roman" w:cs="Angsana New"/>
        <w:noProof/>
        <w:sz w:val="20"/>
        <w:szCs w:val="20"/>
        <w:lang w:eastAsia="en-GB"/>
      </w:rPr>
      <w:drawing>
        <wp:anchor distT="0" distB="0" distL="114300" distR="114300" simplePos="0" relativeHeight="251659264" behindDoc="1" locked="0" layoutInCell="1" allowOverlap="1" wp14:anchorId="1BCDBAC4" wp14:editId="3E82C50C">
          <wp:simplePos x="0" y="0"/>
          <wp:positionH relativeFrom="column">
            <wp:posOffset>3740785</wp:posOffset>
          </wp:positionH>
          <wp:positionV relativeFrom="paragraph">
            <wp:posOffset>7620</wp:posOffset>
          </wp:positionV>
          <wp:extent cx="2240042" cy="684000"/>
          <wp:effectExtent l="0" t="0" r="8255" b="1905"/>
          <wp:wrapThrough wrapText="bothSides">
            <wp:wrapPolygon edited="0">
              <wp:start x="0" y="0"/>
              <wp:lineTo x="0" y="21058"/>
              <wp:lineTo x="21496" y="21058"/>
              <wp:lineTo x="2149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0042" cy="68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55E" w:rsidRPr="007B655E" w:rsidRDefault="007B655E" w:rsidP="007B655E">
    <w:pPr>
      <w:tabs>
        <w:tab w:val="center" w:pos="4513"/>
        <w:tab w:val="right" w:pos="9026"/>
      </w:tabs>
      <w:spacing w:after="0" w:line="240" w:lineRule="auto"/>
      <w:rPr>
        <w:rFonts w:ascii="Times New Roman" w:eastAsia="SimSun" w:hAnsi="Times New Roman" w:cs="Angsana New"/>
        <w:sz w:val="20"/>
        <w:szCs w:val="20"/>
        <w:lang w:val="en-US" w:bidi="th-TH"/>
      </w:rPr>
    </w:pPr>
  </w:p>
  <w:p w:rsidR="000C7FD5" w:rsidRPr="00C4609D" w:rsidRDefault="000C7FD5" w:rsidP="000C7FD5">
    <w:pPr>
      <w:tabs>
        <w:tab w:val="center" w:pos="4513"/>
        <w:tab w:val="right" w:pos="9026"/>
      </w:tabs>
      <w:spacing w:after="0" w:line="240" w:lineRule="auto"/>
      <w:rPr>
        <w:noProof/>
        <w:sz w:val="12"/>
        <w:szCs w:val="12"/>
        <w:lang w:eastAsia="en-GB"/>
      </w:rPr>
    </w:pPr>
    <w:r w:rsidRPr="00C4609D">
      <w:rPr>
        <w:noProof/>
        <w:sz w:val="12"/>
        <w:szCs w:val="12"/>
        <w:lang w:eastAsia="en-GB"/>
      </w:rPr>
      <w:t>Allmode Doc  801.04</w:t>
    </w:r>
  </w:p>
  <w:p w:rsidR="000C7FD5" w:rsidRPr="00C4609D" w:rsidRDefault="000C7FD5" w:rsidP="000C7FD5">
    <w:pPr>
      <w:tabs>
        <w:tab w:val="center" w:pos="4513"/>
        <w:tab w:val="right" w:pos="9026"/>
      </w:tabs>
      <w:spacing w:after="0" w:line="240" w:lineRule="auto"/>
      <w:rPr>
        <w:noProof/>
        <w:sz w:val="12"/>
        <w:szCs w:val="12"/>
        <w:lang w:eastAsia="en-GB"/>
      </w:rPr>
    </w:pPr>
    <w:r w:rsidRPr="00C4609D">
      <w:rPr>
        <w:noProof/>
        <w:sz w:val="12"/>
        <w:szCs w:val="12"/>
        <w:lang w:eastAsia="en-GB"/>
      </w:rPr>
      <w:t>Intelligence. Advisory Notice Form.v0</w:t>
    </w:r>
    <w:r w:rsidR="00A51510">
      <w:rPr>
        <w:noProof/>
        <w:sz w:val="12"/>
        <w:szCs w:val="12"/>
        <w:lang w:eastAsia="en-GB"/>
      </w:rPr>
      <w:t>2</w:t>
    </w:r>
    <w:r w:rsidRPr="00C4609D">
      <w:rPr>
        <w:noProof/>
        <w:sz w:val="12"/>
        <w:szCs w:val="12"/>
        <w:lang w:eastAsia="en-GB"/>
      </w:rPr>
      <w:t xml:space="preserve"> </w:t>
    </w:r>
    <w:r w:rsidR="00A51510">
      <w:rPr>
        <w:noProof/>
        <w:sz w:val="12"/>
        <w:szCs w:val="12"/>
        <w:lang w:eastAsia="en-GB"/>
      </w:rPr>
      <w:t>March 2014</w:t>
    </w:r>
    <w:r w:rsidRPr="007B655E">
      <w:rPr>
        <w:rFonts w:eastAsia="SimSun"/>
        <w:noProof/>
        <w:color w:val="000000"/>
        <w:sz w:val="12"/>
        <w:szCs w:val="12"/>
        <w:lang w:val="en-US" w:eastAsia="en-GB"/>
      </w:rPr>
      <w:t xml:space="preserve"> </w:t>
    </w:r>
  </w:p>
  <w:p w:rsidR="00A23A83" w:rsidRDefault="00A2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6B59"/>
    <w:multiLevelType w:val="hybridMultilevel"/>
    <w:tmpl w:val="D71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FB"/>
    <w:rsid w:val="00002170"/>
    <w:rsid w:val="000175DB"/>
    <w:rsid w:val="0002396D"/>
    <w:rsid w:val="000279BD"/>
    <w:rsid w:val="00031F4C"/>
    <w:rsid w:val="00035B84"/>
    <w:rsid w:val="000434EB"/>
    <w:rsid w:val="00051F65"/>
    <w:rsid w:val="00055CF4"/>
    <w:rsid w:val="0006620C"/>
    <w:rsid w:val="00071559"/>
    <w:rsid w:val="000718BC"/>
    <w:rsid w:val="00075F3F"/>
    <w:rsid w:val="00095AC4"/>
    <w:rsid w:val="00096377"/>
    <w:rsid w:val="000C6DAF"/>
    <w:rsid w:val="000C7FD5"/>
    <w:rsid w:val="000D2C49"/>
    <w:rsid w:val="000E2D5C"/>
    <w:rsid w:val="000E54C9"/>
    <w:rsid w:val="000E7837"/>
    <w:rsid w:val="000F576C"/>
    <w:rsid w:val="00100C2D"/>
    <w:rsid w:val="00104E33"/>
    <w:rsid w:val="0010772B"/>
    <w:rsid w:val="00120C62"/>
    <w:rsid w:val="001378A5"/>
    <w:rsid w:val="0016642B"/>
    <w:rsid w:val="001B1118"/>
    <w:rsid w:val="001C766F"/>
    <w:rsid w:val="002016A1"/>
    <w:rsid w:val="002039E6"/>
    <w:rsid w:val="00210531"/>
    <w:rsid w:val="00213A6F"/>
    <w:rsid w:val="0021466D"/>
    <w:rsid w:val="002262ED"/>
    <w:rsid w:val="00240098"/>
    <w:rsid w:val="0026338F"/>
    <w:rsid w:val="00284061"/>
    <w:rsid w:val="00287B6E"/>
    <w:rsid w:val="002A42A6"/>
    <w:rsid w:val="002A5D93"/>
    <w:rsid w:val="002B5A5E"/>
    <w:rsid w:val="002C095D"/>
    <w:rsid w:val="002D0F17"/>
    <w:rsid w:val="002D4C43"/>
    <w:rsid w:val="002E2B64"/>
    <w:rsid w:val="002F2C11"/>
    <w:rsid w:val="002F4F12"/>
    <w:rsid w:val="002F6D68"/>
    <w:rsid w:val="003018A8"/>
    <w:rsid w:val="003032C6"/>
    <w:rsid w:val="00371FCE"/>
    <w:rsid w:val="00385C4C"/>
    <w:rsid w:val="003A72B3"/>
    <w:rsid w:val="003D46A4"/>
    <w:rsid w:val="003E320E"/>
    <w:rsid w:val="0041743B"/>
    <w:rsid w:val="004339FC"/>
    <w:rsid w:val="0047689F"/>
    <w:rsid w:val="004921C8"/>
    <w:rsid w:val="004936FE"/>
    <w:rsid w:val="004A2C47"/>
    <w:rsid w:val="004C67D9"/>
    <w:rsid w:val="004D68B2"/>
    <w:rsid w:val="004E0B35"/>
    <w:rsid w:val="004E0B6E"/>
    <w:rsid w:val="00506E83"/>
    <w:rsid w:val="00525E5C"/>
    <w:rsid w:val="005260FB"/>
    <w:rsid w:val="005338EB"/>
    <w:rsid w:val="0053757B"/>
    <w:rsid w:val="00537CE6"/>
    <w:rsid w:val="005549BF"/>
    <w:rsid w:val="00560C8B"/>
    <w:rsid w:val="0057251D"/>
    <w:rsid w:val="0057694D"/>
    <w:rsid w:val="005B2FEE"/>
    <w:rsid w:val="005C4E2F"/>
    <w:rsid w:val="005D241E"/>
    <w:rsid w:val="00610540"/>
    <w:rsid w:val="00622F24"/>
    <w:rsid w:val="00631ADA"/>
    <w:rsid w:val="00636F55"/>
    <w:rsid w:val="00640C87"/>
    <w:rsid w:val="00663DB5"/>
    <w:rsid w:val="00664BF7"/>
    <w:rsid w:val="00672F39"/>
    <w:rsid w:val="00675C95"/>
    <w:rsid w:val="00675E55"/>
    <w:rsid w:val="0067621A"/>
    <w:rsid w:val="00680EA4"/>
    <w:rsid w:val="00687957"/>
    <w:rsid w:val="0069280D"/>
    <w:rsid w:val="006B24A0"/>
    <w:rsid w:val="006C1AAB"/>
    <w:rsid w:val="006F3206"/>
    <w:rsid w:val="006F394E"/>
    <w:rsid w:val="00702E89"/>
    <w:rsid w:val="00705097"/>
    <w:rsid w:val="00720120"/>
    <w:rsid w:val="007221D1"/>
    <w:rsid w:val="00731F1D"/>
    <w:rsid w:val="00737965"/>
    <w:rsid w:val="00760388"/>
    <w:rsid w:val="00764E2D"/>
    <w:rsid w:val="00792F10"/>
    <w:rsid w:val="007B3482"/>
    <w:rsid w:val="007B4FFF"/>
    <w:rsid w:val="007B655E"/>
    <w:rsid w:val="007B6CE6"/>
    <w:rsid w:val="007C16AB"/>
    <w:rsid w:val="007E1A7B"/>
    <w:rsid w:val="007E2E70"/>
    <w:rsid w:val="007F5774"/>
    <w:rsid w:val="00805EBF"/>
    <w:rsid w:val="00823D53"/>
    <w:rsid w:val="00824301"/>
    <w:rsid w:val="0083163D"/>
    <w:rsid w:val="00843E72"/>
    <w:rsid w:val="008678EF"/>
    <w:rsid w:val="008700D6"/>
    <w:rsid w:val="00891280"/>
    <w:rsid w:val="008C4657"/>
    <w:rsid w:val="008D4366"/>
    <w:rsid w:val="008D4599"/>
    <w:rsid w:val="0091128B"/>
    <w:rsid w:val="00941BEA"/>
    <w:rsid w:val="00945CA1"/>
    <w:rsid w:val="00947ACA"/>
    <w:rsid w:val="00953D54"/>
    <w:rsid w:val="00953F8A"/>
    <w:rsid w:val="00984EA7"/>
    <w:rsid w:val="00991351"/>
    <w:rsid w:val="009B0D64"/>
    <w:rsid w:val="009E7353"/>
    <w:rsid w:val="009F543A"/>
    <w:rsid w:val="00A114FB"/>
    <w:rsid w:val="00A22306"/>
    <w:rsid w:val="00A23A83"/>
    <w:rsid w:val="00A304CE"/>
    <w:rsid w:val="00A51510"/>
    <w:rsid w:val="00A81A3C"/>
    <w:rsid w:val="00A85218"/>
    <w:rsid w:val="00AC3F90"/>
    <w:rsid w:val="00AC448B"/>
    <w:rsid w:val="00B12235"/>
    <w:rsid w:val="00B249F7"/>
    <w:rsid w:val="00B47E10"/>
    <w:rsid w:val="00B55EAC"/>
    <w:rsid w:val="00B61121"/>
    <w:rsid w:val="00B63725"/>
    <w:rsid w:val="00BA04C5"/>
    <w:rsid w:val="00BA47C4"/>
    <w:rsid w:val="00BA4BE5"/>
    <w:rsid w:val="00BB140A"/>
    <w:rsid w:val="00BB4EDF"/>
    <w:rsid w:val="00BF77DE"/>
    <w:rsid w:val="00C06538"/>
    <w:rsid w:val="00C135F3"/>
    <w:rsid w:val="00C1440A"/>
    <w:rsid w:val="00C1745E"/>
    <w:rsid w:val="00C20472"/>
    <w:rsid w:val="00C248EF"/>
    <w:rsid w:val="00C30EB3"/>
    <w:rsid w:val="00C37378"/>
    <w:rsid w:val="00C420F5"/>
    <w:rsid w:val="00C44C9C"/>
    <w:rsid w:val="00C62957"/>
    <w:rsid w:val="00C71D1D"/>
    <w:rsid w:val="00CA4A94"/>
    <w:rsid w:val="00CB1E3E"/>
    <w:rsid w:val="00CB5A50"/>
    <w:rsid w:val="00CC6326"/>
    <w:rsid w:val="00CF2AE3"/>
    <w:rsid w:val="00CF42CA"/>
    <w:rsid w:val="00CF5EB9"/>
    <w:rsid w:val="00D15633"/>
    <w:rsid w:val="00D463CD"/>
    <w:rsid w:val="00D64F14"/>
    <w:rsid w:val="00D65BA5"/>
    <w:rsid w:val="00D70065"/>
    <w:rsid w:val="00D70FEF"/>
    <w:rsid w:val="00D96084"/>
    <w:rsid w:val="00DA6D63"/>
    <w:rsid w:val="00DB754D"/>
    <w:rsid w:val="00DB7E94"/>
    <w:rsid w:val="00DC3F06"/>
    <w:rsid w:val="00DE6710"/>
    <w:rsid w:val="00DE7CC5"/>
    <w:rsid w:val="00DF5C9F"/>
    <w:rsid w:val="00E05A27"/>
    <w:rsid w:val="00E61BD7"/>
    <w:rsid w:val="00E63C9B"/>
    <w:rsid w:val="00E67A03"/>
    <w:rsid w:val="00E72B2D"/>
    <w:rsid w:val="00EA5730"/>
    <w:rsid w:val="00EC56B4"/>
    <w:rsid w:val="00EE37EE"/>
    <w:rsid w:val="00EE4BA8"/>
    <w:rsid w:val="00EE708E"/>
    <w:rsid w:val="00EF0C5F"/>
    <w:rsid w:val="00EF622E"/>
    <w:rsid w:val="00F4146E"/>
    <w:rsid w:val="00F427AA"/>
    <w:rsid w:val="00F53AA3"/>
    <w:rsid w:val="00F638C1"/>
    <w:rsid w:val="00F63E24"/>
    <w:rsid w:val="00F670F0"/>
    <w:rsid w:val="00F708EE"/>
    <w:rsid w:val="00F9201E"/>
    <w:rsid w:val="00F96958"/>
    <w:rsid w:val="00FD5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FB"/>
    <w:rPr>
      <w:rFonts w:ascii="Tahoma" w:hAnsi="Tahoma" w:cs="Tahoma"/>
      <w:sz w:val="16"/>
      <w:szCs w:val="16"/>
    </w:rPr>
  </w:style>
  <w:style w:type="paragraph" w:styleId="Header">
    <w:name w:val="header"/>
    <w:basedOn w:val="Normal"/>
    <w:link w:val="HeaderChar"/>
    <w:uiPriority w:val="99"/>
    <w:unhideWhenUsed/>
    <w:rsid w:val="00A1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FB"/>
  </w:style>
  <w:style w:type="paragraph" w:styleId="Footer">
    <w:name w:val="footer"/>
    <w:basedOn w:val="Normal"/>
    <w:link w:val="FooterChar"/>
    <w:uiPriority w:val="99"/>
    <w:unhideWhenUsed/>
    <w:rsid w:val="00A1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FB"/>
  </w:style>
  <w:style w:type="character" w:styleId="Hyperlink">
    <w:name w:val="Hyperlink"/>
    <w:basedOn w:val="DefaultParagraphFont"/>
    <w:uiPriority w:val="99"/>
    <w:rsid w:val="002F6D68"/>
    <w:rPr>
      <w:color w:val="0000FF"/>
      <w:u w:val="single"/>
    </w:rPr>
  </w:style>
  <w:style w:type="character" w:styleId="FollowedHyperlink">
    <w:name w:val="FollowedHyperlink"/>
    <w:basedOn w:val="DefaultParagraphFont"/>
    <w:uiPriority w:val="99"/>
    <w:semiHidden/>
    <w:unhideWhenUsed/>
    <w:rsid w:val="002F6D68"/>
    <w:rPr>
      <w:color w:val="800080" w:themeColor="followedHyperlink"/>
      <w:u w:val="single"/>
    </w:rPr>
  </w:style>
  <w:style w:type="character" w:styleId="HTMLTypewriter">
    <w:name w:val="HTML Typewriter"/>
    <w:basedOn w:val="DefaultParagraphFont"/>
    <w:uiPriority w:val="99"/>
    <w:rsid w:val="004E0B35"/>
    <w:rPr>
      <w:rFonts w:ascii="Courier" w:eastAsiaTheme="minorHAnsi" w:hAnsi="Courier" w:cs="Courier"/>
      <w:sz w:val="20"/>
    </w:rPr>
  </w:style>
  <w:style w:type="character" w:styleId="PlaceholderText">
    <w:name w:val="Placeholder Text"/>
    <w:basedOn w:val="DefaultParagraphFont"/>
    <w:uiPriority w:val="99"/>
    <w:semiHidden/>
    <w:rsid w:val="00095AC4"/>
    <w:rPr>
      <w:color w:val="808080"/>
    </w:rPr>
  </w:style>
  <w:style w:type="table" w:styleId="TableGrid">
    <w:name w:val="Table Grid"/>
    <w:basedOn w:val="TableNormal"/>
    <w:uiPriority w:val="59"/>
    <w:rsid w:val="002B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5DB"/>
    <w:pPr>
      <w:ind w:left="720"/>
      <w:contextualSpacing/>
    </w:pPr>
  </w:style>
  <w:style w:type="paragraph" w:customStyle="1" w:styleId="Default">
    <w:name w:val="Default"/>
    <w:rsid w:val="00240098"/>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FB"/>
    <w:rPr>
      <w:rFonts w:ascii="Tahoma" w:hAnsi="Tahoma" w:cs="Tahoma"/>
      <w:sz w:val="16"/>
      <w:szCs w:val="16"/>
    </w:rPr>
  </w:style>
  <w:style w:type="paragraph" w:styleId="Header">
    <w:name w:val="header"/>
    <w:basedOn w:val="Normal"/>
    <w:link w:val="HeaderChar"/>
    <w:uiPriority w:val="99"/>
    <w:unhideWhenUsed/>
    <w:rsid w:val="00A1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FB"/>
  </w:style>
  <w:style w:type="paragraph" w:styleId="Footer">
    <w:name w:val="footer"/>
    <w:basedOn w:val="Normal"/>
    <w:link w:val="FooterChar"/>
    <w:uiPriority w:val="99"/>
    <w:unhideWhenUsed/>
    <w:rsid w:val="00A1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FB"/>
  </w:style>
  <w:style w:type="character" w:styleId="Hyperlink">
    <w:name w:val="Hyperlink"/>
    <w:basedOn w:val="DefaultParagraphFont"/>
    <w:uiPriority w:val="99"/>
    <w:rsid w:val="002F6D68"/>
    <w:rPr>
      <w:color w:val="0000FF"/>
      <w:u w:val="single"/>
    </w:rPr>
  </w:style>
  <w:style w:type="character" w:styleId="FollowedHyperlink">
    <w:name w:val="FollowedHyperlink"/>
    <w:basedOn w:val="DefaultParagraphFont"/>
    <w:uiPriority w:val="99"/>
    <w:semiHidden/>
    <w:unhideWhenUsed/>
    <w:rsid w:val="002F6D68"/>
    <w:rPr>
      <w:color w:val="800080" w:themeColor="followedHyperlink"/>
      <w:u w:val="single"/>
    </w:rPr>
  </w:style>
  <w:style w:type="character" w:styleId="HTMLTypewriter">
    <w:name w:val="HTML Typewriter"/>
    <w:basedOn w:val="DefaultParagraphFont"/>
    <w:uiPriority w:val="99"/>
    <w:rsid w:val="004E0B35"/>
    <w:rPr>
      <w:rFonts w:ascii="Courier" w:eastAsiaTheme="minorHAnsi" w:hAnsi="Courier" w:cs="Courier"/>
      <w:sz w:val="20"/>
    </w:rPr>
  </w:style>
  <w:style w:type="character" w:styleId="PlaceholderText">
    <w:name w:val="Placeholder Text"/>
    <w:basedOn w:val="DefaultParagraphFont"/>
    <w:uiPriority w:val="99"/>
    <w:semiHidden/>
    <w:rsid w:val="00095AC4"/>
    <w:rPr>
      <w:color w:val="808080"/>
    </w:rPr>
  </w:style>
  <w:style w:type="table" w:styleId="TableGrid">
    <w:name w:val="Table Grid"/>
    <w:basedOn w:val="TableNormal"/>
    <w:uiPriority w:val="59"/>
    <w:rsid w:val="002B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5DB"/>
    <w:pPr>
      <w:ind w:left="720"/>
      <w:contextualSpacing/>
    </w:pPr>
  </w:style>
  <w:style w:type="paragraph" w:customStyle="1" w:styleId="Default">
    <w:name w:val="Default"/>
    <w:rsid w:val="0024009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5852">
      <w:bodyDiv w:val="1"/>
      <w:marLeft w:val="0"/>
      <w:marRight w:val="0"/>
      <w:marTop w:val="0"/>
      <w:marBottom w:val="0"/>
      <w:divBdr>
        <w:top w:val="none" w:sz="0" w:space="0" w:color="auto"/>
        <w:left w:val="none" w:sz="0" w:space="0" w:color="auto"/>
        <w:bottom w:val="none" w:sz="0" w:space="0" w:color="auto"/>
        <w:right w:val="none" w:sz="0" w:space="0" w:color="auto"/>
      </w:divBdr>
    </w:div>
    <w:div w:id="149636858">
      <w:bodyDiv w:val="1"/>
      <w:marLeft w:val="0"/>
      <w:marRight w:val="0"/>
      <w:marTop w:val="0"/>
      <w:marBottom w:val="0"/>
      <w:divBdr>
        <w:top w:val="none" w:sz="0" w:space="0" w:color="auto"/>
        <w:left w:val="none" w:sz="0" w:space="0" w:color="auto"/>
        <w:bottom w:val="none" w:sz="0" w:space="0" w:color="auto"/>
        <w:right w:val="none" w:sz="0" w:space="0" w:color="auto"/>
      </w:divBdr>
      <w:divsChild>
        <w:div w:id="149829493">
          <w:marLeft w:val="0"/>
          <w:marRight w:val="0"/>
          <w:marTop w:val="0"/>
          <w:marBottom w:val="0"/>
          <w:divBdr>
            <w:top w:val="none" w:sz="0" w:space="0" w:color="auto"/>
            <w:left w:val="none" w:sz="0" w:space="0" w:color="auto"/>
            <w:bottom w:val="none" w:sz="0" w:space="0" w:color="auto"/>
            <w:right w:val="none" w:sz="0" w:space="0" w:color="auto"/>
          </w:divBdr>
          <w:divsChild>
            <w:div w:id="1820265967">
              <w:marLeft w:val="150"/>
              <w:marRight w:val="0"/>
              <w:marTop w:val="225"/>
              <w:marBottom w:val="0"/>
              <w:divBdr>
                <w:top w:val="none" w:sz="0" w:space="0" w:color="auto"/>
                <w:left w:val="none" w:sz="0" w:space="0" w:color="auto"/>
                <w:bottom w:val="none" w:sz="0" w:space="0" w:color="auto"/>
                <w:right w:val="none" w:sz="0" w:space="0" w:color="auto"/>
              </w:divBdr>
              <w:divsChild>
                <w:div w:id="179586149">
                  <w:marLeft w:val="0"/>
                  <w:marRight w:val="0"/>
                  <w:marTop w:val="0"/>
                  <w:marBottom w:val="0"/>
                  <w:divBdr>
                    <w:top w:val="none" w:sz="0" w:space="0" w:color="auto"/>
                    <w:left w:val="none" w:sz="0" w:space="0" w:color="auto"/>
                    <w:bottom w:val="none" w:sz="0" w:space="0" w:color="auto"/>
                    <w:right w:val="none" w:sz="0" w:space="0" w:color="auto"/>
                  </w:divBdr>
                  <w:divsChild>
                    <w:div w:id="1854955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9112084">
      <w:bodyDiv w:val="1"/>
      <w:marLeft w:val="0"/>
      <w:marRight w:val="0"/>
      <w:marTop w:val="0"/>
      <w:marBottom w:val="0"/>
      <w:divBdr>
        <w:top w:val="none" w:sz="0" w:space="0" w:color="auto"/>
        <w:left w:val="none" w:sz="0" w:space="0" w:color="auto"/>
        <w:bottom w:val="none" w:sz="0" w:space="0" w:color="auto"/>
        <w:right w:val="none" w:sz="0" w:space="0" w:color="auto"/>
      </w:divBdr>
      <w:divsChild>
        <w:div w:id="1643803760">
          <w:marLeft w:val="0"/>
          <w:marRight w:val="0"/>
          <w:marTop w:val="0"/>
          <w:marBottom w:val="0"/>
          <w:divBdr>
            <w:top w:val="none" w:sz="0" w:space="0" w:color="auto"/>
            <w:left w:val="none" w:sz="0" w:space="0" w:color="auto"/>
            <w:bottom w:val="none" w:sz="0" w:space="0" w:color="auto"/>
            <w:right w:val="none" w:sz="0" w:space="0" w:color="auto"/>
          </w:divBdr>
          <w:divsChild>
            <w:div w:id="1501507710">
              <w:marLeft w:val="150"/>
              <w:marRight w:val="0"/>
              <w:marTop w:val="225"/>
              <w:marBottom w:val="0"/>
              <w:divBdr>
                <w:top w:val="none" w:sz="0" w:space="0" w:color="auto"/>
                <w:left w:val="none" w:sz="0" w:space="0" w:color="auto"/>
                <w:bottom w:val="none" w:sz="0" w:space="0" w:color="auto"/>
                <w:right w:val="none" w:sz="0" w:space="0" w:color="auto"/>
              </w:divBdr>
              <w:divsChild>
                <w:div w:id="164365428">
                  <w:marLeft w:val="0"/>
                  <w:marRight w:val="0"/>
                  <w:marTop w:val="0"/>
                  <w:marBottom w:val="0"/>
                  <w:divBdr>
                    <w:top w:val="none" w:sz="0" w:space="0" w:color="auto"/>
                    <w:left w:val="none" w:sz="0" w:space="0" w:color="auto"/>
                    <w:bottom w:val="none" w:sz="0" w:space="0" w:color="auto"/>
                    <w:right w:val="none" w:sz="0" w:space="0" w:color="auto"/>
                  </w:divBdr>
                  <w:divsChild>
                    <w:div w:id="1998336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36193274">
      <w:bodyDiv w:val="1"/>
      <w:marLeft w:val="0"/>
      <w:marRight w:val="0"/>
      <w:marTop w:val="0"/>
      <w:marBottom w:val="0"/>
      <w:divBdr>
        <w:top w:val="none" w:sz="0" w:space="0" w:color="auto"/>
        <w:left w:val="none" w:sz="0" w:space="0" w:color="auto"/>
        <w:bottom w:val="none" w:sz="0" w:space="0" w:color="auto"/>
        <w:right w:val="none" w:sz="0" w:space="0" w:color="auto"/>
      </w:divBdr>
      <w:divsChild>
        <w:div w:id="1376464700">
          <w:marLeft w:val="0"/>
          <w:marRight w:val="0"/>
          <w:marTop w:val="0"/>
          <w:marBottom w:val="0"/>
          <w:divBdr>
            <w:top w:val="none" w:sz="0" w:space="0" w:color="auto"/>
            <w:left w:val="none" w:sz="0" w:space="0" w:color="auto"/>
            <w:bottom w:val="none" w:sz="0" w:space="0" w:color="auto"/>
            <w:right w:val="none" w:sz="0" w:space="0" w:color="auto"/>
          </w:divBdr>
          <w:divsChild>
            <w:div w:id="605618411">
              <w:marLeft w:val="150"/>
              <w:marRight w:val="0"/>
              <w:marTop w:val="225"/>
              <w:marBottom w:val="0"/>
              <w:divBdr>
                <w:top w:val="none" w:sz="0" w:space="0" w:color="auto"/>
                <w:left w:val="none" w:sz="0" w:space="0" w:color="auto"/>
                <w:bottom w:val="none" w:sz="0" w:space="0" w:color="auto"/>
                <w:right w:val="none" w:sz="0" w:space="0" w:color="auto"/>
              </w:divBdr>
              <w:divsChild>
                <w:div w:id="1552569020">
                  <w:marLeft w:val="0"/>
                  <w:marRight w:val="0"/>
                  <w:marTop w:val="0"/>
                  <w:marBottom w:val="0"/>
                  <w:divBdr>
                    <w:top w:val="none" w:sz="0" w:space="0" w:color="auto"/>
                    <w:left w:val="none" w:sz="0" w:space="0" w:color="auto"/>
                    <w:bottom w:val="none" w:sz="0" w:space="0" w:color="auto"/>
                    <w:right w:val="none" w:sz="0" w:space="0" w:color="auto"/>
                  </w:divBdr>
                  <w:divsChild>
                    <w:div w:id="18968917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94474505">
      <w:bodyDiv w:val="1"/>
      <w:marLeft w:val="0"/>
      <w:marRight w:val="0"/>
      <w:marTop w:val="0"/>
      <w:marBottom w:val="0"/>
      <w:divBdr>
        <w:top w:val="none" w:sz="0" w:space="0" w:color="auto"/>
        <w:left w:val="none" w:sz="0" w:space="0" w:color="auto"/>
        <w:bottom w:val="none" w:sz="0" w:space="0" w:color="auto"/>
        <w:right w:val="none" w:sz="0" w:space="0" w:color="auto"/>
      </w:divBdr>
    </w:div>
    <w:div w:id="1280914430">
      <w:bodyDiv w:val="1"/>
      <w:marLeft w:val="0"/>
      <w:marRight w:val="0"/>
      <w:marTop w:val="0"/>
      <w:marBottom w:val="0"/>
      <w:divBdr>
        <w:top w:val="none" w:sz="0" w:space="0" w:color="auto"/>
        <w:left w:val="none" w:sz="0" w:space="0" w:color="auto"/>
        <w:bottom w:val="none" w:sz="0" w:space="0" w:color="auto"/>
        <w:right w:val="none" w:sz="0" w:space="0" w:color="auto"/>
      </w:divBdr>
      <w:divsChild>
        <w:div w:id="76296000">
          <w:marLeft w:val="0"/>
          <w:marRight w:val="0"/>
          <w:marTop w:val="0"/>
          <w:marBottom w:val="0"/>
          <w:divBdr>
            <w:top w:val="none" w:sz="0" w:space="0" w:color="auto"/>
            <w:left w:val="none" w:sz="0" w:space="0" w:color="auto"/>
            <w:bottom w:val="none" w:sz="0" w:space="0" w:color="auto"/>
            <w:right w:val="none" w:sz="0" w:space="0" w:color="auto"/>
          </w:divBdr>
          <w:divsChild>
            <w:div w:id="796683008">
              <w:marLeft w:val="150"/>
              <w:marRight w:val="0"/>
              <w:marTop w:val="225"/>
              <w:marBottom w:val="0"/>
              <w:divBdr>
                <w:top w:val="none" w:sz="0" w:space="0" w:color="auto"/>
                <w:left w:val="none" w:sz="0" w:space="0" w:color="auto"/>
                <w:bottom w:val="none" w:sz="0" w:space="0" w:color="auto"/>
                <w:right w:val="none" w:sz="0" w:space="0" w:color="auto"/>
              </w:divBdr>
              <w:divsChild>
                <w:div w:id="628702086">
                  <w:marLeft w:val="0"/>
                  <w:marRight w:val="0"/>
                  <w:marTop w:val="0"/>
                  <w:marBottom w:val="0"/>
                  <w:divBdr>
                    <w:top w:val="none" w:sz="0" w:space="0" w:color="auto"/>
                    <w:left w:val="none" w:sz="0" w:space="0" w:color="auto"/>
                    <w:bottom w:val="none" w:sz="0" w:space="0" w:color="auto"/>
                    <w:right w:val="none" w:sz="0" w:space="0" w:color="auto"/>
                  </w:divBdr>
                  <w:divsChild>
                    <w:div w:id="17323853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Kellett</dc:creator>
  <cp:lastModifiedBy>Emma Read</cp:lastModifiedBy>
  <cp:revision>2</cp:revision>
  <cp:lastPrinted>2014-03-06T16:57:00Z</cp:lastPrinted>
  <dcterms:created xsi:type="dcterms:W3CDTF">2014-09-04T09:02:00Z</dcterms:created>
  <dcterms:modified xsi:type="dcterms:W3CDTF">2014-09-04T09:02:00Z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1887319368</vt:i4>
  </property>
</Properties>
</file>